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53" w:rsidRDefault="00D13C53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Default="009A374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B77BED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74C" w:rsidRPr="003C3AF3" w:rsidRDefault="009A374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AF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 счётный орган - Контрольно-счетная палата городского округа Евпатория Республики Крым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</w:pPr>
      <w:r w:rsidRPr="003C3AF3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Заключение</w:t>
      </w:r>
    </w:p>
    <w:p w:rsidR="009504DC" w:rsidRPr="003C3AF3" w:rsidRDefault="0073536E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п</w:t>
      </w:r>
      <w:r w:rsidR="005D276D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о</w:t>
      </w:r>
      <w:proofErr w:type="gramEnd"/>
      <w:r w:rsidR="005D276D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 xml:space="preserve"> результатам внешней проверки отчета об исполнении бюджета городского округа Евпатория Республики Крым</w:t>
      </w:r>
      <w:r w:rsidR="00FB3232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 xml:space="preserve"> </w:t>
      </w:r>
      <w:r w:rsidR="005D276D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за 1 квартал 202</w:t>
      </w:r>
      <w:r w:rsidR="00D05982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4</w:t>
      </w:r>
      <w:r w:rsidR="005D276D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 xml:space="preserve"> года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proofErr w:type="gramEnd"/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Контрольно-счётного органа – </w:t>
      </w:r>
    </w:p>
    <w:p w:rsidR="009504DC" w:rsidRPr="00D23F81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</w:t>
      </w:r>
      <w:r w:rsidRPr="00D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Евпатория Республики Крым </w:t>
      </w:r>
    </w:p>
    <w:p w:rsidR="009504DC" w:rsidRPr="00FB3232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3AED"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276D"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70C0D"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AED"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C0D" w:rsidRP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01-23/</w:t>
      </w:r>
      <w:r w:rsidR="00FB3232" w:rsidRP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9504DC" w:rsidRPr="00FB3232" w:rsidRDefault="009504DC" w:rsidP="007606B1">
      <w:pPr>
        <w:widowControl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0A34EB" w:rsidRPr="00FB3232" w:rsidRDefault="000A34EB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Одобрено </w:t>
      </w:r>
    </w:p>
    <w:p w:rsidR="000A34EB" w:rsidRPr="000A34EB" w:rsidRDefault="000A34EB" w:rsidP="0097047B">
      <w:pPr>
        <w:spacing w:after="0" w:line="240" w:lineRule="auto"/>
        <w:ind w:left="5245" w:hanging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Коллегией КС</w:t>
      </w:r>
      <w:bookmarkStart w:id="0" w:name="_GoBack"/>
      <w:bookmarkEnd w:id="0"/>
      <w:r w:rsidRP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 ГО Евпатория</w:t>
      </w:r>
      <w:r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                                                                  Протокол от </w:t>
      </w:r>
      <w:r w:rsid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AED" w:rsidRPr="0042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8/144</w:t>
      </w:r>
    </w:p>
    <w:p w:rsidR="00114DA7" w:rsidRDefault="00114DA7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32" w:rsidRDefault="00FB3232" w:rsidP="000A34EB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A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Евпатория </w:t>
      </w:r>
    </w:p>
    <w:p w:rsidR="009504DC" w:rsidRDefault="00F70C0D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0598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120BB3" w:rsidRDefault="00120BB3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094124" w:rsidRDefault="009504DC" w:rsidP="00760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</w:t>
      </w:r>
    </w:p>
    <w:p w:rsidR="009504DC" w:rsidRPr="00094124" w:rsidRDefault="009504DC" w:rsidP="007606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положения. Правовые основания подготовки заключения. 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внешней проверки отчета об исполнении бюджета городского округа Евпатория Республики Крым.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проверка соответствия фактического исполнения бюджета городского округа его плановым назначениям;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2 анализ доходов бюджета городского округа (налоговые и неналоговые доходы бюджета, безвозмездные поступления);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3 анализ расходов бюджета городского округа по разделам, подразделам классификации расходов бюджетов РФ;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 анализ расходов бюджета городского округа по ведомственной структуре расходов бюджета;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5 анализ использования средств резервного фонда;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6 анализ исполнения бюджета по источникам внутреннего финансирования дефицита местного бюджета, долговых обязательств.</w:t>
      </w: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982" w:rsidRPr="00D05982" w:rsidRDefault="00D05982" w:rsidP="00D0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и предложения.</w:t>
      </w: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982" w:rsidRDefault="00D0598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982" w:rsidRDefault="00D0598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982" w:rsidRDefault="00D0598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982" w:rsidRDefault="00D0598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982" w:rsidRDefault="00D0598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50" w:rsidRDefault="00180850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232" w:rsidRDefault="00FB323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232" w:rsidRDefault="00FB3232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50" w:rsidRDefault="00180850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50" w:rsidRDefault="00180850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76D" w:rsidRDefault="005D276D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124" w:rsidRDefault="00094124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124" w:rsidRDefault="00094124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76D" w:rsidRDefault="005D276D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1B5" w:rsidRDefault="00C421B5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AF3" w:rsidRPr="00094124" w:rsidRDefault="003C3AF3" w:rsidP="00FE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Общие положения. Правовые основания подготовки заключения.</w:t>
      </w:r>
    </w:p>
    <w:p w:rsidR="003C3AF3" w:rsidRPr="00094124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подготовлено Контрольно-счётным органом - Контрольно-счетной палатой городского округа Евпатория Республики Крым (далее – КСП ГО Евпатория РК) на основании</w:t>
      </w:r>
      <w:r w:rsidR="005D276D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ч.2 ст. 9 Ф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закона №6-ФЗ «Об общих принципах организации и деятельности контрольно-счетных органов субъектов Российской Федерации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федеральных территорий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образований» (с изменениями и дополнениями), статьи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Положения о Контрольно-счётном органе - Контрольно-счетной палате городского округа Евпатория Республики Крым, утвержденного решением Евпаторийского городского совета от </w:t>
      </w:r>
      <w:r w:rsidR="00A54F3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09.11.2021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54F3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2-36/2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распоряжения председателя КСП ГО Евпатория РК от 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№01-23/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3.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годового плана работы КСП ГО Евпатория РК на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1D1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FB1D1E" w:rsidRPr="00094124" w:rsidRDefault="00FB1D1E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Экспертно-аналитическое мероприятие проведено в раках оперативного анализа исполнения и контроля за организацией исполнения местного бюджета в текущем финансовом году с целью представления информации о ходе исполнения местного бюджета в представительный орган муниципального образования и Главе муниципального образования.</w:t>
      </w:r>
    </w:p>
    <w:p w:rsidR="003F10E0" w:rsidRPr="00094124" w:rsidRDefault="00FB1D1E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программой проведения экспертно-аналитического мероприятия</w:t>
      </w:r>
      <w:r w:rsidR="003F10E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 мероприятия - 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соответствия отчета об исполнении бюджета городского округа Евпатория Республики Крым требованиям Бюджетного кодекса Российской Федерации, Положения о бюджетном процессе в городском округе Евпатория и иным нормативным правовым актам Республики Крым и органов местного самоуправления; подготовка заключения КСП ГО Евпатория РК о полноте и достоверности представленных показателей бюджетной отчетности.</w:t>
      </w:r>
    </w:p>
    <w:p w:rsidR="003C3AF3" w:rsidRPr="00094124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Экспертно-аналитическое мероприятие 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данным Отчёта об исполнении бюджета городского округа Евпатория РК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 апреля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0503117), 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представленного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города Евпатория Республики Крым в КСП ГО Евпатория РК, данным внешней проверки бюджетной отчетности главных распорядителей бюджетных средств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1 квартал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сводной бюджетной росписи бюджета муниципального образования городской округ Евпатория Республики Крым на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по состоянию на 01.04.202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и материалов, представленных главными администраторами бюджетных средств на запросы КСП ГО Евпатория РК.</w:t>
      </w:r>
    </w:p>
    <w:p w:rsidR="003C3AF3" w:rsidRPr="00094124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об исполнении бюджета городского округа 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утвержден постановлением администрации город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Евпатории Республики Крым от 07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05982">
        <w:rPr>
          <w:rFonts w:ascii="Times New Roman" w:eastAsia="Times New Roman" w:hAnsi="Times New Roman" w:cs="Times New Roman"/>
          <w:sz w:val="26"/>
          <w:szCs w:val="26"/>
          <w:lang w:eastAsia="ru-RU"/>
        </w:rPr>
        <w:t>4 № 1152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-п.</w:t>
      </w:r>
    </w:p>
    <w:p w:rsidR="00247E02" w:rsidRPr="00094124" w:rsidRDefault="00247E02" w:rsidP="0076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7E02" w:rsidRPr="00094124" w:rsidRDefault="00247E02" w:rsidP="00247E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внешней проверки отчета об исполнении бюджета городского округа Евпатория Республики Крым.</w:t>
      </w:r>
    </w:p>
    <w:p w:rsidR="00247E02" w:rsidRPr="00094124" w:rsidRDefault="00247E02" w:rsidP="00247E02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1. Установление соответствия фактического исполнения бюджета городского округа его плановым назначениям.</w:t>
      </w:r>
    </w:p>
    <w:p w:rsidR="00247E02" w:rsidRPr="00094124" w:rsidRDefault="00247E02" w:rsidP="0024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муниципального образования городской округ Евпатория Республики Крым на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решением Евпаторийского городского совета Республики Крым от </w:t>
      </w:r>
      <w:r w:rsidR="00CA329B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329B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2-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="00CA329B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муниципального образования городской округ Евпатория Республики Крым на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(далее – решение</w:t>
      </w:r>
      <w:r w:rsidR="00D7322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22E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</w:t>
      </w:r>
      <w:r w:rsid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D7322E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.12.202</w:t>
      </w:r>
      <w:r w:rsid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7322E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="00CA329B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24986" w:rsidRPr="00094124" w:rsidRDefault="00724986" w:rsidP="0072498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Решением </w:t>
      </w:r>
      <w:r w:rsidR="004F1C08" w:rsidRPr="004F1C08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от 15.12.2023 </w:t>
      </w:r>
      <w:r w:rsidR="004F1C08" w:rsidRPr="004F1C08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№ 2-76/1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были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утверждены следующие основные характеристики бюджета городского округа на 202</w:t>
      </w:r>
      <w:r w:rsidR="0032140D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год: прогнозируемый объем доходов в сумме </w:t>
      </w:r>
      <w:r w:rsidR="004F1C08" w:rsidRPr="004F1C0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4 035 834 693,07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рублей, в том числе налоговые и неналоговые доходы в сумме </w:t>
      </w:r>
      <w:r w:rsidR="004F1C08" w:rsidRPr="004F1C0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lastRenderedPageBreak/>
        <w:t xml:space="preserve">1 607 477 940,26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рублей, безвозмездные поступления в сумме </w:t>
      </w:r>
      <w:r w:rsidR="004F1C08" w:rsidRPr="004F1C0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2 428 356 752,81</w:t>
      </w:r>
      <w:r w:rsidR="00021CF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рублей, расходы бюджета городского округа –</w:t>
      </w:r>
      <w:r w:rsidR="00D7322E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4F1C08" w:rsidRPr="004F1C0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4 035 834 693,07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рублей, дефицит бюджета не прогнозировался.</w:t>
      </w:r>
    </w:p>
    <w:p w:rsidR="00CA329B" w:rsidRPr="00094124" w:rsidRDefault="00CA329B" w:rsidP="0024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квартале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решение </w:t>
      </w:r>
      <w:r w:rsidR="004F1C08" w:rsidRP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15.12.2023 № 2-76/1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</w:t>
      </w:r>
      <w:r w:rsidR="00021CF7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вносились.</w:t>
      </w:r>
    </w:p>
    <w:p w:rsidR="00247E02" w:rsidRPr="00094124" w:rsidRDefault="00247E02" w:rsidP="0024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п. 134 Инструкции </w:t>
      </w:r>
      <w:r w:rsidR="00021CF7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191н, Методическими рекомендациями по применению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 в Отчете об исполнении бюджета (ф. 0503117) в разделе «Доходы бюджета» отражаются плановые показатели доходов бюджета, утвержденных законом (решением о бюджете), в разделе «Расходы бюджета» отражаются бюджетные назначения по расходам бюджета, утвержденных в соответствии со сводной бюджетной росписью, с учетом последующих изменений, оформленных в соответствии с бюджетным законодательством Российской Федерации на отчетную дату.</w:t>
      </w:r>
    </w:p>
    <w:p w:rsidR="00247E02" w:rsidRPr="00094124" w:rsidRDefault="00247E02" w:rsidP="0024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Проверкой соответствия плановых показателей, указанных в отчетности главных администраторов бюджетных средств, отчете об исполнении бюджета городского округа Евпатория Республики Крым показателям, утвержденным Решением о бюджете городского округа Евпатория Республики Крым на 202</w:t>
      </w:r>
      <w:r w:rsid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8D654D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</w:t>
      </w:r>
      <w:r w:rsidR="00FB32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установлено следующее.</w:t>
      </w:r>
    </w:p>
    <w:p w:rsidR="00247E02" w:rsidRPr="00094124" w:rsidRDefault="00247E02" w:rsidP="0024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Плановые показатели доходов бюджета на 202</w:t>
      </w:r>
      <w:r w:rsid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8D654D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год, отраженные в отчете об исполнении бюджета, соответствуют утвержденным решением </w:t>
      </w:r>
      <w:r w:rsidR="004F1C08" w:rsidRP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15.12.2023 № 2-76/1</w:t>
      </w:r>
      <w:r w:rsidR="00DB6DC2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D654D" w:rsidRPr="00094124" w:rsidRDefault="008D654D" w:rsidP="008D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Плановые показатели по расходам бюджета, отраженные в отчете о исполнении бюджета, </w:t>
      </w:r>
      <w:r w:rsidR="00774C93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выше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соответствующего показателя, утвержденного решением Евпаторийского городского совета Республики Крым </w:t>
      </w:r>
      <w:r w:rsidR="004F1C08" w:rsidRP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15.12.2023 № 2-76/1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</w:t>
      </w:r>
      <w:r w:rsid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139 024 006,76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руб., при этом соответствуют показателям сводной бюджетной росписи бюджета муниципального образования</w:t>
      </w:r>
      <w:r w:rsidR="00774C93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состоянию на 01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74C93"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4F1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D654D" w:rsidRPr="00094124" w:rsidRDefault="008D654D" w:rsidP="008D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Соответствующие изменения в сводную бюджетную роспись внесены без внесения изменений в бюджет.</w:t>
      </w:r>
    </w:p>
    <w:p w:rsidR="00247E02" w:rsidRPr="00094124" w:rsidRDefault="00724986" w:rsidP="0072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 городского округа за </w:t>
      </w:r>
      <w:r w:rsidR="00DC27D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1 квартал 202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C27D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 по доходам в сумме 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752 033 059,60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774C93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18,63</w:t>
      </w:r>
      <w:r w:rsidR="00DC27D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годового планового показателя, по расходам в сумме 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831 071 008,65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774C93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19,91</w:t>
      </w:r>
      <w:r w:rsidR="00DC27D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утвержденного годового плана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</w:t>
      </w:r>
      <w:r w:rsidR="00DC27D0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дефицитом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4F1C08">
        <w:rPr>
          <w:rFonts w:ascii="Times New Roman" w:eastAsia="Times New Roman" w:hAnsi="Times New Roman" w:cs="Times New Roman"/>
          <w:sz w:val="26"/>
          <w:szCs w:val="26"/>
          <w:lang w:eastAsia="ru-RU"/>
        </w:rPr>
        <w:t>79 037 949,05</w:t>
      </w:r>
      <w:r w:rsidR="00774C93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74C93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47E02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7E02" w:rsidRPr="00094124" w:rsidRDefault="00247E02" w:rsidP="00247E0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В таблице 1 представлены основные показатели исполнения бюджета городского округа за </w:t>
      </w:r>
      <w:r w:rsidR="00DC27D0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1 квартал 202</w:t>
      </w:r>
      <w:r w:rsidR="004F1C08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</w:t>
      </w:r>
      <w:r w:rsidR="00DC27D0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а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в сравнении с показателями, утвержденными решени</w:t>
      </w:r>
      <w:r w:rsidR="00B702D6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е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м Евпаторийского городского совета</w:t>
      </w:r>
      <w:r w:rsidR="00B702D6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Республики Крым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.</w:t>
      </w:r>
    </w:p>
    <w:p w:rsidR="00247E02" w:rsidRDefault="00247E02" w:rsidP="00247E02">
      <w:pPr>
        <w:widowControl w:val="0"/>
        <w:tabs>
          <w:tab w:val="left" w:pos="1170"/>
        </w:tabs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</w:rPr>
      </w:pPr>
      <w:r w:rsidRPr="00724986">
        <w:rPr>
          <w:rFonts w:ascii="Times New Roman" w:eastAsia="Arial Unicode MS" w:hAnsi="Times New Roman" w:cs="Times New Roman"/>
          <w:bCs/>
          <w:kern w:val="3"/>
          <w:szCs w:val="24"/>
        </w:rPr>
        <w:t xml:space="preserve">Таблица 1                                                                                                                                                  </w:t>
      </w:r>
      <w:r w:rsidRPr="00724986">
        <w:rPr>
          <w:rFonts w:ascii="Times New Roman" w:eastAsia="Arial Unicode MS" w:hAnsi="Times New Roman" w:cs="Times New Roman"/>
          <w:kern w:val="3"/>
          <w:szCs w:val="24"/>
        </w:rPr>
        <w:t xml:space="preserve"> </w:t>
      </w:r>
      <w:r w:rsidRPr="00747A60">
        <w:rPr>
          <w:rFonts w:ascii="Times New Roman" w:eastAsia="Arial Unicode MS" w:hAnsi="Times New Roman" w:cs="Times New Roman"/>
          <w:kern w:val="3"/>
          <w:szCs w:val="24"/>
        </w:rPr>
        <w:t>рублей</w:t>
      </w: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842"/>
        <w:gridCol w:w="1560"/>
        <w:gridCol w:w="1559"/>
        <w:gridCol w:w="992"/>
        <w:gridCol w:w="1702"/>
      </w:tblGrid>
      <w:tr w:rsidR="00774C93" w:rsidRPr="00774C93" w:rsidTr="004F1C08">
        <w:tc>
          <w:tcPr>
            <w:tcW w:w="24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9"/>
                <w:szCs w:val="19"/>
              </w:rPr>
            </w:pPr>
          </w:p>
          <w:p w:rsidR="00774C93" w:rsidRPr="005A128F" w:rsidRDefault="00774C93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 xml:space="preserve">План, утв. </w:t>
            </w:r>
            <w:proofErr w:type="spellStart"/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реш</w:t>
            </w:r>
            <w:proofErr w:type="spellEnd"/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. ЕГС о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т 1</w:t>
            </w:r>
            <w:r w:rsidR="004F1C08"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5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.12.202</w:t>
            </w:r>
            <w:r w:rsidR="004F1C08"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3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 xml:space="preserve"> </w:t>
            </w:r>
          </w:p>
          <w:p w:rsidR="00774C93" w:rsidRPr="005A128F" w:rsidRDefault="00774C93" w:rsidP="004F1C08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№2-</w:t>
            </w:r>
            <w:r w:rsidR="004F1C08"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76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9"/>
                <w:szCs w:val="19"/>
              </w:rPr>
              <w:t>/1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Утвержденные бюджетные назначения по данным СБР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9"/>
                <w:szCs w:val="19"/>
              </w:rPr>
            </w:pPr>
          </w:p>
          <w:p w:rsidR="00774C93" w:rsidRPr="005A128F" w:rsidRDefault="00774C93" w:rsidP="00C421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Исполнено</w:t>
            </w:r>
          </w:p>
        </w:tc>
        <w:tc>
          <w:tcPr>
            <w:tcW w:w="26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Результат исполнения</w:t>
            </w:r>
          </w:p>
        </w:tc>
      </w:tr>
      <w:tr w:rsidR="00774C93" w:rsidRPr="00774C93" w:rsidTr="005A128F">
        <w:tc>
          <w:tcPr>
            <w:tcW w:w="24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%</w:t>
            </w:r>
          </w:p>
          <w:p w:rsidR="00774C93" w:rsidRPr="005A128F" w:rsidRDefault="00774C93" w:rsidP="00B702D6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(гр.</w:t>
            </w:r>
            <w:r w:rsidR="00B702D6"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4 /гр.2</w:t>
            </w:r>
            <w:r w:rsidR="009D1DD4"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 xml:space="preserve"> (3)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)</w:t>
            </w:r>
          </w:p>
        </w:tc>
        <w:tc>
          <w:tcPr>
            <w:tcW w:w="1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93" w:rsidRPr="005A128F" w:rsidRDefault="00774C93" w:rsidP="00C421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 xml:space="preserve">В </w:t>
            </w:r>
            <w:proofErr w:type="spellStart"/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абсолют</w:t>
            </w:r>
            <w:proofErr w:type="spellEnd"/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.</w:t>
            </w:r>
          </w:p>
          <w:p w:rsidR="00774C93" w:rsidRPr="005A128F" w:rsidRDefault="00774C93" w:rsidP="00C421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</w:pPr>
            <w:proofErr w:type="spellStart"/>
            <w:proofErr w:type="gramStart"/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показат</w:t>
            </w:r>
            <w:proofErr w:type="spellEnd"/>
            <w:proofErr w:type="gramEnd"/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.</w:t>
            </w:r>
          </w:p>
          <w:p w:rsidR="00774C93" w:rsidRPr="005A128F" w:rsidRDefault="00774C93" w:rsidP="00B702D6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(гр.</w:t>
            </w:r>
            <w:r w:rsidR="00B702D6"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4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-гр.</w:t>
            </w:r>
            <w:r w:rsidR="00B702D6"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2</w:t>
            </w:r>
            <w:r w:rsidR="009D1DD4"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 xml:space="preserve"> (3)</w:t>
            </w:r>
            <w:r w:rsidRPr="005A12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9"/>
                <w:szCs w:val="19"/>
              </w:rPr>
              <w:t>)</w:t>
            </w:r>
          </w:p>
        </w:tc>
      </w:tr>
      <w:tr w:rsidR="00774C93" w:rsidRPr="00774C93" w:rsidTr="005A128F"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93" w:rsidRPr="005A128F" w:rsidRDefault="00774C93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93" w:rsidRPr="005A128F" w:rsidRDefault="00B702D6" w:rsidP="00B702D6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93" w:rsidRPr="005A128F" w:rsidRDefault="00B702D6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93" w:rsidRPr="005A128F" w:rsidRDefault="00B702D6" w:rsidP="00B702D6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93" w:rsidRPr="005A128F" w:rsidRDefault="00B702D6" w:rsidP="00C421B5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5</w:t>
            </w:r>
          </w:p>
        </w:tc>
        <w:tc>
          <w:tcPr>
            <w:tcW w:w="1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C93" w:rsidRPr="005A128F" w:rsidRDefault="00B702D6" w:rsidP="00B702D6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6</w:t>
            </w:r>
          </w:p>
        </w:tc>
      </w:tr>
      <w:tr w:rsidR="004F1C08" w:rsidRPr="00774C93" w:rsidTr="005A128F"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4F1C08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Всего доходы,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4 035 834 693,07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752 033 059,60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-3 283 801 633,47</w:t>
            </w:r>
          </w:p>
        </w:tc>
      </w:tr>
      <w:tr w:rsidR="004F1C08" w:rsidRPr="00774C93" w:rsidTr="005A128F">
        <w:trPr>
          <w:trHeight w:val="60"/>
        </w:trPr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4F1C08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proofErr w:type="gramStart"/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налоговые</w:t>
            </w:r>
            <w:proofErr w:type="gramEnd"/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 xml:space="preserve"> и неналоговые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1 607 477 940,26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290 575 109,51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-1 316 902 830,75</w:t>
            </w:r>
          </w:p>
        </w:tc>
      </w:tr>
      <w:tr w:rsidR="004F1C08" w:rsidRPr="00774C93" w:rsidTr="005A128F">
        <w:trPr>
          <w:trHeight w:val="444"/>
        </w:trPr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4F1C08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proofErr w:type="gramStart"/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безвозмездные</w:t>
            </w:r>
            <w:proofErr w:type="gramEnd"/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 xml:space="preserve"> перечисления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2 428 356 752,81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461 457 950,09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-1 966 898 802,72</w:t>
            </w:r>
          </w:p>
        </w:tc>
      </w:tr>
      <w:tr w:rsidR="004F1C08" w:rsidRPr="00774C93" w:rsidTr="005A128F">
        <w:trPr>
          <w:trHeight w:val="276"/>
        </w:trPr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4F1C08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Всего расходы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4 035 834 693,07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4 174 858 699,83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831 071 008,65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-3 343 787 691,18</w:t>
            </w:r>
          </w:p>
        </w:tc>
      </w:tr>
      <w:tr w:rsidR="004F1C08" w:rsidRPr="00774C93" w:rsidTr="005A128F"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4F1C08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</w:pPr>
            <w:r w:rsidRPr="005A128F">
              <w:rPr>
                <w:rFonts w:ascii="Times New Roman" w:eastAsia="Arial Unicode MS" w:hAnsi="Times New Roman" w:cs="Times New Roman"/>
                <w:b/>
                <w:bCs/>
                <w:kern w:val="3"/>
                <w:sz w:val="19"/>
                <w:szCs w:val="19"/>
              </w:rPr>
              <w:t>Профицит, дефицит (+,-)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-79 037 949,05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C08" w:rsidRPr="005A128F" w:rsidRDefault="004F1C08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094124" w:rsidRDefault="00094124" w:rsidP="00247E02">
      <w:pPr>
        <w:widowControl w:val="0"/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</w:pPr>
    </w:p>
    <w:p w:rsidR="005A128F" w:rsidRDefault="005A128F" w:rsidP="00247E02">
      <w:pPr>
        <w:widowControl w:val="0"/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</w:pPr>
    </w:p>
    <w:p w:rsidR="00247E02" w:rsidRPr="00094124" w:rsidRDefault="00247E02" w:rsidP="00247E02">
      <w:pPr>
        <w:widowControl w:val="0"/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Cs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iCs/>
          <w:kern w:val="3"/>
          <w:sz w:val="26"/>
          <w:szCs w:val="26"/>
        </w:rPr>
        <w:lastRenderedPageBreak/>
        <w:t>2. Анализ доходов бюджета городского округа (налоговые и неналоговые доходы бюджета, безвозмездные поступления).</w:t>
      </w:r>
    </w:p>
    <w:p w:rsidR="00247E02" w:rsidRPr="00094124" w:rsidRDefault="00247E02" w:rsidP="00247E02">
      <w:pPr>
        <w:widowControl w:val="0"/>
        <w:tabs>
          <w:tab w:val="left" w:pos="1170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Налоговые и неналоговые доходы бюджета.</w:t>
      </w:r>
    </w:p>
    <w:p w:rsidR="00247E02" w:rsidRPr="00094124" w:rsidRDefault="00247E02" w:rsidP="00247E02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По итогам</w:t>
      </w:r>
      <w:r w:rsidR="00C07BD0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1 квартала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202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года плановые показатели по налоговым и неналоговым доходам составили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1 607 477,94</w:t>
      </w:r>
      <w:r w:rsidR="0084747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тыс. рублей, поступило –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290 575,11</w:t>
      </w:r>
      <w:r w:rsidRPr="000941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тыс. рублей или </w:t>
      </w:r>
      <w:r w:rsidR="0084747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1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8,08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% от </w:t>
      </w:r>
      <w:r w:rsidR="004A13B8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годового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плана</w:t>
      </w:r>
    </w:p>
    <w:p w:rsidR="00247E02" w:rsidRPr="00094124" w:rsidRDefault="00247E02" w:rsidP="004A13B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Исполнение бюджета городского округа по налоговым и неналоговым доходам за </w:t>
      </w:r>
      <w:r w:rsidR="004A13B8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1 квартал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202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</w:t>
      </w:r>
      <w:r w:rsidR="0084747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а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приведено в таблицах 2 и 3 соответственно.</w:t>
      </w:r>
      <w:r w:rsidR="004A13B8" w:rsidRPr="00094124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 xml:space="preserve"> </w:t>
      </w:r>
    </w:p>
    <w:p w:rsidR="00F3240E" w:rsidRPr="00094124" w:rsidRDefault="00F3240E" w:rsidP="00247E02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</w:p>
    <w:p w:rsidR="00247E02" w:rsidRPr="00094124" w:rsidRDefault="00247E02" w:rsidP="00247E02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>Налоговые доходы.</w:t>
      </w:r>
    </w:p>
    <w:p w:rsidR="00247E02" w:rsidRDefault="00247E02" w:rsidP="00247E02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724986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Таблица 2                                                                                                            </w:t>
      </w:r>
      <w:r w:rsidR="00DA3927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        </w:t>
      </w:r>
      <w:r w:rsidRPr="003C3AF3">
        <w:rPr>
          <w:rFonts w:ascii="Times New Roman" w:eastAsia="Arial Unicode MS" w:hAnsi="Times New Roman" w:cs="Times New Roman"/>
          <w:kern w:val="3"/>
          <w:sz w:val="24"/>
          <w:szCs w:val="24"/>
        </w:rPr>
        <w:t>тыс. рублей</w:t>
      </w:r>
    </w:p>
    <w:tbl>
      <w:tblPr>
        <w:tblW w:w="1007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95"/>
        <w:gridCol w:w="1273"/>
        <w:gridCol w:w="1555"/>
        <w:gridCol w:w="1415"/>
        <w:gridCol w:w="1415"/>
      </w:tblGrid>
      <w:tr w:rsidR="00DA3927" w:rsidRPr="00F3240E" w:rsidTr="005A128F">
        <w:trPr>
          <w:trHeight w:val="1097"/>
        </w:trPr>
        <w:tc>
          <w:tcPr>
            <w:tcW w:w="517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DA3927" w:rsidRPr="00F3240E" w:rsidRDefault="00DA3927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 на 202</w:t>
            </w:r>
            <w:r w:rsidR="005A12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год, согласно решению ЕГС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Исполнено </w:t>
            </w:r>
          </w:p>
          <w:p w:rsidR="00DA3927" w:rsidRPr="00F3240E" w:rsidRDefault="00DA3927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proofErr w:type="gramEnd"/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 квартал 202</w:t>
            </w:r>
            <w:r w:rsidR="005A12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Удельный вес в объеме налоговых доходов</w:t>
            </w:r>
          </w:p>
        </w:tc>
      </w:tr>
      <w:tr w:rsidR="00DA3927" w:rsidRPr="00F3240E" w:rsidTr="00FB3232">
        <w:trPr>
          <w:trHeight w:val="223"/>
        </w:trPr>
        <w:tc>
          <w:tcPr>
            <w:tcW w:w="517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DA3927" w:rsidRPr="00F3240E" w:rsidRDefault="00DA3927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128F" w:rsidRPr="00F3240E" w:rsidTr="00FB3232">
        <w:trPr>
          <w:trHeight w:val="267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873 588,363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155 024,319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A128F" w:rsidRPr="00F3240E" w:rsidTr="00FB3232">
        <w:trPr>
          <w:trHeight w:val="285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  <w:r w:rsidRPr="00F3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(НДФЛ)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571 534,111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95 643,266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5A128F" w:rsidRPr="00F3240E" w:rsidTr="00FB3232">
        <w:trPr>
          <w:trHeight w:val="261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(акцизы)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14 434,780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4 144,534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5A128F" w:rsidRPr="00F3240E" w:rsidTr="00FB3232">
        <w:trPr>
          <w:trHeight w:val="307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175 736,672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46 447,935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A128F" w:rsidRPr="00F3240E" w:rsidTr="00FB3232">
        <w:trPr>
          <w:trHeight w:val="271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117 429,312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15 359,244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00E61" w:rsidRDefault="005A128F" w:rsidP="005A1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E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A128F" w:rsidRPr="00F3240E" w:rsidTr="00FB3232">
        <w:trPr>
          <w:trHeight w:val="420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12,771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00E61" w:rsidRDefault="005A128F" w:rsidP="005A1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E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A128F" w:rsidRPr="00F3240E" w:rsidTr="00FB3232">
        <w:trPr>
          <w:trHeight w:val="217"/>
        </w:trPr>
        <w:tc>
          <w:tcPr>
            <w:tcW w:w="517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2 307,360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1 340,901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00E61" w:rsidRDefault="005A128F" w:rsidP="005A1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E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A128F" w:rsidRPr="00F3240E" w:rsidTr="00FB3232">
        <w:trPr>
          <w:trHeight w:val="268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56 000,000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29 735,019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00E61" w:rsidRDefault="005A128F" w:rsidP="005A1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0E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A128F" w:rsidRPr="00F3240E" w:rsidTr="00FB3232">
        <w:trPr>
          <w:trHeight w:val="315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9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96 682,800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4 826,553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</w:tbl>
    <w:p w:rsidR="006D4433" w:rsidRPr="00094124" w:rsidRDefault="00247E02" w:rsidP="006D4433">
      <w:pPr>
        <w:widowControl w:val="0"/>
        <w:suppressAutoHyphens/>
        <w:autoSpaceDN w:val="0"/>
        <w:spacing w:after="6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Исполнение по налоговым доходам </w:t>
      </w:r>
      <w:r w:rsidR="0006515A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за 1 квартал 202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="0006515A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года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составило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155 024,319</w:t>
      </w:r>
      <w:r w:rsidR="00DA392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тыс. рублей или </w:t>
      </w:r>
      <w:r w:rsidR="0006515A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1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7</w:t>
      </w:r>
      <w:r w:rsidR="00DA392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,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7</w:t>
      </w:r>
      <w:r w:rsidR="00DA392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06515A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% от годового плана.</w:t>
      </w:r>
      <w:r w:rsidR="006D4433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</w:p>
    <w:p w:rsidR="006D4433" w:rsidRPr="00094124" w:rsidRDefault="006D4433" w:rsidP="006D4433">
      <w:pPr>
        <w:widowControl w:val="0"/>
        <w:suppressAutoHyphens/>
        <w:autoSpaceDN w:val="0"/>
        <w:spacing w:after="6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Удельный вес налоговых доходов по итогам 1 квартала составил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20,61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%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в общей сумме доходов бюджета городского округа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(</w:t>
      </w:r>
      <w:r w:rsidR="005A128F" w:rsidRPr="005A128F">
        <w:rPr>
          <w:rFonts w:ascii="Times New Roman" w:eastAsia="Arial Unicode MS" w:hAnsi="Times New Roman" w:cs="Times New Roman"/>
          <w:kern w:val="3"/>
          <w:sz w:val="26"/>
          <w:szCs w:val="26"/>
        </w:rPr>
        <w:t>в 1 квартале 202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3</w:t>
      </w:r>
      <w:r w:rsidR="005A128F" w:rsidRPr="005A128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–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9,67</w:t>
      </w:r>
      <w:r w:rsidR="005A128F" w:rsidRPr="005A128F">
        <w:rPr>
          <w:rFonts w:ascii="Times New Roman" w:eastAsia="Arial Unicode MS" w:hAnsi="Times New Roman" w:cs="Times New Roman"/>
          <w:kern w:val="3"/>
          <w:sz w:val="26"/>
          <w:szCs w:val="26"/>
        </w:rPr>
        <w:t>%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, 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в 1 квартале 2022 – 23,4%)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и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53,35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%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от суммы налоговых и неналоговых доходов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(в 1 квартале 202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3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–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35,84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%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, </w:t>
      </w:r>
      <w:r w:rsidR="005A128F" w:rsidRPr="005A128F">
        <w:rPr>
          <w:rFonts w:ascii="Times New Roman" w:eastAsia="Arial Unicode MS" w:hAnsi="Times New Roman" w:cs="Times New Roman"/>
          <w:kern w:val="3"/>
          <w:sz w:val="26"/>
          <w:szCs w:val="26"/>
        </w:rPr>
        <w:t>в 1 квартале 2022 - 49,7%</w:t>
      </w:r>
      <w:r w:rsidR="00AE4AC1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)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.</w:t>
      </w:r>
    </w:p>
    <w:p w:rsidR="00247E02" w:rsidRPr="00094124" w:rsidRDefault="00247E02" w:rsidP="00247E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Arial Unicode MS" w:hAnsi="Calibri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Основным </w:t>
      </w:r>
      <w:proofErr w:type="spellStart"/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бюджетообразующим</w:t>
      </w:r>
      <w:proofErr w:type="spellEnd"/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налоговым доходом является налог на доходы физических лиц – </w:t>
      </w:r>
      <w:r w:rsidR="005A128F">
        <w:rPr>
          <w:rFonts w:ascii="Times New Roman" w:eastAsia="Arial Unicode MS" w:hAnsi="Times New Roman" w:cs="Times New Roman"/>
          <w:kern w:val="3"/>
          <w:sz w:val="26"/>
          <w:szCs w:val="26"/>
        </w:rPr>
        <w:t>61,7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% налоговых доходов. </w:t>
      </w:r>
    </w:p>
    <w:p w:rsidR="00F3240E" w:rsidRPr="00094124" w:rsidRDefault="00F3240E" w:rsidP="00247E0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</w:p>
    <w:p w:rsidR="00247E02" w:rsidRPr="00094124" w:rsidRDefault="00247E02" w:rsidP="00247E0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>Неналоговые доходы</w:t>
      </w:r>
    </w:p>
    <w:p w:rsidR="00247E02" w:rsidRDefault="00247E02" w:rsidP="00247E0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</w:pPr>
      <w:r w:rsidRPr="00724986">
        <w:rPr>
          <w:rFonts w:ascii="Times New Roman" w:eastAsia="Arial Unicode MS" w:hAnsi="Times New Roman" w:cs="Times New Roman"/>
          <w:bCs/>
          <w:kern w:val="3"/>
          <w:sz w:val="24"/>
          <w:szCs w:val="28"/>
        </w:rPr>
        <w:t xml:space="preserve">Таблица 3                                                                                                           </w:t>
      </w:r>
      <w:r w:rsidR="00AE4AC1">
        <w:rPr>
          <w:rFonts w:ascii="Times New Roman" w:eastAsia="Arial Unicode MS" w:hAnsi="Times New Roman" w:cs="Times New Roman"/>
          <w:bCs/>
          <w:kern w:val="3"/>
          <w:sz w:val="24"/>
          <w:szCs w:val="28"/>
        </w:rPr>
        <w:t xml:space="preserve">   </w:t>
      </w:r>
      <w:r w:rsidRPr="00917937"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  <w:t>тыс. рублей</w:t>
      </w:r>
    </w:p>
    <w:tbl>
      <w:tblPr>
        <w:tblW w:w="10251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375"/>
        <w:gridCol w:w="1560"/>
        <w:gridCol w:w="1275"/>
        <w:gridCol w:w="1251"/>
        <w:gridCol w:w="1233"/>
      </w:tblGrid>
      <w:tr w:rsidR="00AE4AC1" w:rsidRPr="00F3240E" w:rsidTr="00FB3232">
        <w:trPr>
          <w:trHeight w:val="1003"/>
        </w:trPr>
        <w:tc>
          <w:tcPr>
            <w:tcW w:w="557" w:type="dxa"/>
            <w:shd w:val="clear" w:color="000000" w:fill="FFFFFF"/>
            <w:vAlign w:val="center"/>
          </w:tcPr>
          <w:p w:rsidR="00AE4AC1" w:rsidRPr="00F3240E" w:rsidRDefault="00AE4AC1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4375" w:type="dxa"/>
            <w:shd w:val="clear" w:color="000000" w:fill="FFFFFF"/>
            <w:vAlign w:val="center"/>
          </w:tcPr>
          <w:p w:rsidR="00AE4AC1" w:rsidRPr="00F3240E" w:rsidRDefault="00AE4AC1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Наименование статьи доходов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AE4AC1" w:rsidRPr="00F3240E" w:rsidRDefault="00AE4AC1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План на 202</w:t>
            </w:r>
            <w:r w:rsidR="005A12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4</w:t>
            </w: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год, согласно решению ЕГС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E4AC1" w:rsidRPr="00F3240E" w:rsidRDefault="00AE4AC1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Исполнено </w:t>
            </w:r>
          </w:p>
          <w:p w:rsidR="00AE4AC1" w:rsidRPr="00F3240E" w:rsidRDefault="00AE4AC1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</w:pPr>
            <w:proofErr w:type="gramStart"/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gramEnd"/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1 квартал 202</w:t>
            </w:r>
            <w:r w:rsidR="005A12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AE4AC1" w:rsidRPr="00F3240E" w:rsidRDefault="00AE4AC1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Процент исполнения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AE4AC1" w:rsidRPr="00F3240E" w:rsidRDefault="00AE4AC1" w:rsidP="00F3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Удельный вес в объеме налоговых доходов</w:t>
            </w:r>
          </w:p>
        </w:tc>
      </w:tr>
      <w:tr w:rsidR="00247E02" w:rsidRPr="00F3240E" w:rsidTr="00FB3232">
        <w:trPr>
          <w:trHeight w:val="27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247E02" w:rsidRPr="00F3240E" w:rsidRDefault="00247E02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324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247E02" w:rsidRPr="00F3240E" w:rsidRDefault="00247E02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324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47E02" w:rsidRPr="00F3240E" w:rsidRDefault="00247E02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324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47E02" w:rsidRPr="00F3240E" w:rsidRDefault="00247E02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324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:rsidR="00247E02" w:rsidRPr="00F3240E" w:rsidRDefault="00247E02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324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247E02" w:rsidRPr="00F3240E" w:rsidRDefault="00247E02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3240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5A128F" w:rsidRPr="00F3240E" w:rsidTr="00FB3232">
        <w:trPr>
          <w:trHeight w:val="27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Неналоговые доходы</w:t>
            </w: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733 889,58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135 550,79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18,5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5A128F" w:rsidRPr="00F3240E" w:rsidTr="00FB3232">
        <w:trPr>
          <w:trHeight w:val="345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в т. ч.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700 997,30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111 028,42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15,8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81,9</w:t>
            </w:r>
          </w:p>
        </w:tc>
      </w:tr>
      <w:tr w:rsidR="005A128F" w:rsidRPr="00F3240E" w:rsidTr="00FB3232">
        <w:trPr>
          <w:trHeight w:val="467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576 373,39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85 139,56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14,8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1138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-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33 644,38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9 505,12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28,3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255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-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22 121,24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5 212,36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23,6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532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proofErr w:type="gramStart"/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плата</w:t>
            </w:r>
            <w:proofErr w:type="gramEnd"/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30,67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3,63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11,8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495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-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4 472,90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1 755,37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39,2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165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- 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64 354,72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9 412,38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27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2.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1 616,15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98,48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6,1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0,1</w:t>
            </w:r>
          </w:p>
        </w:tc>
      </w:tr>
      <w:tr w:rsidR="005A128F" w:rsidRPr="00F3240E" w:rsidTr="00FB3232">
        <w:trPr>
          <w:trHeight w:val="203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3.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Доходы от оказания платных услуг (работ) и компенсации затрат бюджетов городских округов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14 865,39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11,0</w:t>
            </w:r>
          </w:p>
        </w:tc>
      </w:tr>
      <w:tr w:rsidR="005A128F" w:rsidRPr="00F3240E" w:rsidTr="00FB3232">
        <w:trPr>
          <w:trHeight w:val="95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4.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27 289,83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14 081,82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51,6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10,4</w:t>
            </w:r>
          </w:p>
        </w:tc>
      </w:tr>
      <w:tr w:rsidR="005A128F" w:rsidRPr="00F3240E" w:rsidTr="00FB3232">
        <w:trPr>
          <w:trHeight w:val="5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Доходы от реализации имущества, находящегося в собственности городских округов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23 554,55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2 440,79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10,4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5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Доходы от продажи земельных участков, находящихся в собственности городских округов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3 735,29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11 641,03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311,7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27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5A128F" w:rsidRPr="00F3240E" w:rsidTr="00FB3232">
        <w:trPr>
          <w:trHeight w:val="50"/>
        </w:trPr>
        <w:tc>
          <w:tcPr>
            <w:tcW w:w="557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5.</w:t>
            </w:r>
          </w:p>
        </w:tc>
        <w:tc>
          <w:tcPr>
            <w:tcW w:w="4375" w:type="dxa"/>
            <w:shd w:val="clear" w:color="000000" w:fill="FFFFFF"/>
            <w:vAlign w:val="center"/>
            <w:hideMark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3 986,29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-4 511,91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-113,2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-3,3</w:t>
            </w:r>
          </w:p>
        </w:tc>
      </w:tr>
      <w:tr w:rsidR="005A128F" w:rsidRPr="00F3240E" w:rsidTr="00FB3232">
        <w:trPr>
          <w:trHeight w:val="50"/>
        </w:trPr>
        <w:tc>
          <w:tcPr>
            <w:tcW w:w="557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6.</w:t>
            </w:r>
          </w:p>
        </w:tc>
        <w:tc>
          <w:tcPr>
            <w:tcW w:w="4375" w:type="dxa"/>
            <w:shd w:val="clear" w:color="000000" w:fill="FFFFFF"/>
            <w:vAlign w:val="center"/>
          </w:tcPr>
          <w:p w:rsidR="005A128F" w:rsidRPr="00F3240E" w:rsidRDefault="005A128F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3240E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-11,40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33" w:type="dxa"/>
            <w:shd w:val="clear" w:color="000000" w:fill="FFFFFF"/>
            <w:vAlign w:val="center"/>
          </w:tcPr>
          <w:p w:rsidR="005A128F" w:rsidRPr="005A128F" w:rsidRDefault="005A128F" w:rsidP="005A12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A128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</w:tbl>
    <w:p w:rsidR="0006515A" w:rsidRPr="00F464A8" w:rsidRDefault="00247E02" w:rsidP="00247E02">
      <w:pPr>
        <w:widowControl w:val="0"/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>Исполнение по неналоговым доходам</w:t>
      </w:r>
      <w:r w:rsidR="0006515A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за 1 квартал 202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="0006515A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года</w:t>
      </w:r>
      <w:r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составило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135 550,79</w:t>
      </w:r>
      <w:r w:rsidR="0006515A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тыс. рублей </w:t>
      </w:r>
      <w:r w:rsidR="0006515A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–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18,5</w:t>
      </w:r>
      <w:r w:rsidR="0006515A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>% от годового плана.</w:t>
      </w:r>
    </w:p>
    <w:p w:rsidR="00247E02" w:rsidRPr="00094124" w:rsidRDefault="00247E02" w:rsidP="00247E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Удельный вес неналоговых доходов </w:t>
      </w:r>
      <w:r w:rsidR="006D4433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>по итогам</w:t>
      </w:r>
      <w:r w:rsidR="006D4433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1 квартала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составил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18,02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% в общей сумме доходов бюджета городского </w:t>
      </w:r>
      <w:r w:rsidR="006D4433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округа </w:t>
      </w:r>
      <w:r w:rsidR="006D1B8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(</w:t>
      </w:r>
      <w:r w:rsidR="00F464A8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>в 1 квартале 202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3</w:t>
      </w:r>
      <w:r w:rsidR="00F464A8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–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17,31%, </w:t>
      </w:r>
      <w:r w:rsidR="006D1B8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в 1 квартале 2022 – 23,7%) </w:t>
      </w:r>
      <w:r w:rsidR="006D4433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и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46,65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% от суммы налоговых и неналоговых доходов</w:t>
      </w:r>
      <w:r w:rsidR="006D1B8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(</w:t>
      </w:r>
      <w:r w:rsidR="00F464A8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>в 1 квартале 202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3 – 64,16</w:t>
      </w:r>
      <w:r w:rsidR="00F464A8" w:rsidRPr="00F464A8">
        <w:rPr>
          <w:rFonts w:ascii="Times New Roman" w:eastAsia="Arial Unicode MS" w:hAnsi="Times New Roman" w:cs="Times New Roman"/>
          <w:kern w:val="3"/>
          <w:sz w:val="26"/>
          <w:szCs w:val="26"/>
        </w:rPr>
        <w:t>%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, </w:t>
      </w:r>
      <w:r w:rsidR="006D1B8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в 1 квартале 2022 – 50,3%)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.</w:t>
      </w:r>
    </w:p>
    <w:p w:rsidR="0021271C" w:rsidRPr="00094124" w:rsidRDefault="00247E02" w:rsidP="00247E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Основным источником неналоговых доходов являются доходы от использования имущества –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81,9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% всех неналоговых доходов. </w:t>
      </w:r>
    </w:p>
    <w:p w:rsidR="00047FA8" w:rsidRPr="00B91372" w:rsidRDefault="00047FA8" w:rsidP="00047F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Годовой план поступления </w:t>
      </w:r>
      <w:r w:rsidR="00B91372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доходов, </w:t>
      </w:r>
      <w:r w:rsidR="00B91372" w:rsidRPr="00B91372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получаемых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</w:t>
      </w:r>
      <w:r w:rsidR="0001299F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ых и автономных учреждений) исполнен</w:t>
      </w:r>
      <w:r w:rsidR="00785402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3B7A98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>в</w:t>
      </w: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1 квартал</w:t>
      </w:r>
      <w:r w:rsidR="003B7A98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>е</w:t>
      </w: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="00B91372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>на 14,8%</w:t>
      </w:r>
      <w:r w:rsidR="00785402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>, п</w:t>
      </w: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ри годовом плане </w:t>
      </w:r>
      <w:r w:rsidR="0001299F">
        <w:rPr>
          <w:rFonts w:ascii="Times New Roman" w:eastAsia="Arial Unicode MS" w:hAnsi="Times New Roman" w:cs="Times New Roman"/>
          <w:kern w:val="3"/>
          <w:sz w:val="26"/>
          <w:szCs w:val="26"/>
        </w:rPr>
        <w:t>576 373,39</w:t>
      </w: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тыс. рублей поступления за 1 квартал составили </w:t>
      </w:r>
      <w:r w:rsidR="0001299F">
        <w:rPr>
          <w:rFonts w:ascii="Times New Roman" w:eastAsia="Arial Unicode MS" w:hAnsi="Times New Roman" w:cs="Times New Roman"/>
          <w:kern w:val="3"/>
          <w:sz w:val="26"/>
          <w:szCs w:val="26"/>
        </w:rPr>
        <w:t>85 139,56</w:t>
      </w: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тыс. рублей</w:t>
      </w:r>
      <w:r w:rsidR="00785402"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>.</w:t>
      </w:r>
    </w:p>
    <w:p w:rsidR="00047FA8" w:rsidRPr="00B91372" w:rsidRDefault="00047FA8" w:rsidP="00047F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6"/>
          <w:szCs w:val="26"/>
        </w:rPr>
      </w:pP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Администратор</w:t>
      </w:r>
      <w:r w:rsidR="00B91372"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о</w:t>
      </w: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м доходов</w:t>
      </w:r>
      <w:r w:rsidR="00D8729B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,</w:t>
      </w: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 </w:t>
      </w:r>
      <w:r w:rsidR="00B91372" w:rsidRPr="00B91372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 xml:space="preserve">получаемых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</w: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не учтены замечания КСП ГО Евпатория РК по итогам экспертизы проекта бюджета городского округа на 202</w:t>
      </w:r>
      <w:r w:rsidR="00B91372"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4</w:t>
      </w: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 год и плановый период 202</w:t>
      </w:r>
      <w:r w:rsidR="00B91372"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5</w:t>
      </w: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 и 202</w:t>
      </w:r>
      <w:r w:rsidR="00B91372"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6</w:t>
      </w:r>
      <w:r w:rsidRPr="00B91372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 годов, не уточнены прогнозы поступления доходов.</w:t>
      </w:r>
    </w:p>
    <w:p w:rsidR="005F7146" w:rsidRPr="00B91372" w:rsidRDefault="005F7146" w:rsidP="005F714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Так, в зак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люч</w:t>
      </w:r>
      <w:r w:rsidR="00652B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ении КСП ГО Евпатория РК от 28.11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.202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3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к проекту решения Евпаторийского городского совета Республики Крым «О бюджете муниципального образования городской округ Евпатория Республики Крым на 202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4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год и плановый период 202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5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и 202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6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годов»</w:t>
      </w:r>
      <w:r w:rsidR="00652B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(далее – заключение КСП ГО Евпатория РК от 28.11.2023)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был отражен ряд замечаний и недостатков к прогнозу поступлений в бюджет на 202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4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-202</w:t>
      </w:r>
      <w:r w:rsid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6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годы: </w:t>
      </w:r>
    </w:p>
    <w:p w:rsidR="00B91372" w:rsidRPr="00B91372" w:rsidRDefault="00B91372" w:rsidP="00B9137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1.</w:t>
      </w:r>
      <w:r w:rsidRPr="00B91372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 xml:space="preserve"> П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римененный в расчете прогноза доходов показатель 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  <w:lang w:val="en-US"/>
        </w:rPr>
        <w:t>S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1 (сумма годовой арендной платы по договорам аренды земельных участков на момент планирования, доходы по которым поступают в бюджет, - 560 128 042,97 руб.) завышен. </w:t>
      </w:r>
      <w:proofErr w:type="spellStart"/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Расчетно</w:t>
      </w:r>
      <w:proofErr w:type="spellEnd"/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, с учетом применения коэффициента инфляции 1,04, завышение прогноза поступлений доходов от арендной платы на 2024 год составляет от 139,6 млн. рублей ((560,1-425,</w:t>
      </w:r>
      <w:proofErr w:type="gramStart"/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9)*</w:t>
      </w:r>
      <w:proofErr w:type="gramEnd"/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1,04) до 172,9 млн. рублей ((560,1-393,8)*1,04).</w:t>
      </w:r>
    </w:p>
    <w:p w:rsidR="00B91372" w:rsidRPr="00B91372" w:rsidRDefault="00B91372" w:rsidP="00B9137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2.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В 2024 году не планируется проведение аукционов, заключение новых договоров аренды после истечения сроков действующих.</w:t>
      </w:r>
    </w:p>
    <w:p w:rsidR="00B91372" w:rsidRPr="00B91372" w:rsidRDefault="00B91372" w:rsidP="00B9137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3.</w:t>
      </w: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 w:rsidRPr="00B91372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Установлен нулевой уровень собираемости для действующих (не расторгнутых) договоров с суммарным годовым размером арендной платы 8,7 миллиона рублей.</w:t>
      </w:r>
    </w:p>
    <w:p w:rsidR="00B91372" w:rsidRPr="00B91372" w:rsidRDefault="00B91372" w:rsidP="00B9137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  <w:u w:val="single"/>
        </w:rPr>
      </w:pPr>
      <w:r w:rsidRPr="00B91372">
        <w:rPr>
          <w:rFonts w:ascii="Times New Roman" w:eastAsia="Arial Unicode MS" w:hAnsi="Times New Roman" w:cs="Times New Roman"/>
          <w:bCs/>
          <w:kern w:val="3"/>
          <w:sz w:val="26"/>
          <w:szCs w:val="26"/>
          <w:u w:val="single"/>
        </w:rPr>
        <w:t xml:space="preserve">ДИЗО рекомендовалось </w:t>
      </w:r>
      <w:r w:rsidRPr="00B91372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  <w:u w:val="single"/>
        </w:rPr>
        <w:t>скорректировать прогноз поступления доходов, получаемых в виде арендной платы, а также средств от продажи права на заключение договоров аренды за земли в бюджет.</w:t>
      </w:r>
    </w:p>
    <w:p w:rsidR="005C4A56" w:rsidRPr="00B91372" w:rsidRDefault="005C4A56" w:rsidP="005C4A5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Таким образом, 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прогнозные показатели поступления в части </w:t>
      </w:r>
      <w:r w:rsidR="00D8729B"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доходов </w:t>
      </w:r>
      <w:r w:rsidR="00D8729B" w:rsidRPr="0001299F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>получаемых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D53E6B"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,</w:t>
      </w:r>
      <w:r w:rsidR="00D8729B"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 завышены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 главным администратор</w:t>
      </w:r>
      <w:r w:rsidR="0027204D"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о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м доходов – </w:t>
      </w:r>
      <w:r w:rsidR="0027204D"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департаментом имущественных и земельных отношений 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администрацией города Евпатории Республики Крым.</w:t>
      </w:r>
      <w:r w:rsidRPr="00B91372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 </w:t>
      </w:r>
    </w:p>
    <w:p w:rsidR="00EE118E" w:rsidRPr="00F464A8" w:rsidRDefault="00EE118E" w:rsidP="005C4A5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6"/>
          <w:szCs w:val="26"/>
          <w:highlight w:val="yellow"/>
        </w:rPr>
      </w:pPr>
    </w:p>
    <w:p w:rsidR="0001299F" w:rsidRPr="0001299F" w:rsidRDefault="0001299F" w:rsidP="0001299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Годовой план поступления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>ис</w:t>
      </w: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полнен в 1 квартале 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>на 28,3%</w:t>
      </w: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, при годовом плане 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>33 644,38</w:t>
      </w: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тыс. рублей поступления за 1 квартал составили 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>9 505,12</w:t>
      </w: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тыс. рублей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>.</w:t>
      </w:r>
    </w:p>
    <w:p w:rsidR="0001299F" w:rsidRPr="0001299F" w:rsidRDefault="0001299F" w:rsidP="0001299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6"/>
          <w:szCs w:val="26"/>
        </w:rPr>
      </w:pP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Администратор</w:t>
      </w:r>
      <w:r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о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м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не учтены замечания КСП ГО Евпатория РК по итогам экспертизы проекта бюджета городского округа на 202</w:t>
      </w:r>
      <w:r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4 год и плановый период 2025 и 2026 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годов, не уточнены прогнозы поступления доходов.</w:t>
      </w:r>
    </w:p>
    <w:p w:rsidR="0001299F" w:rsidRPr="0001299F" w:rsidRDefault="0001299F" w:rsidP="0001299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Так, в зак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лючении КСП ГО Евпатория РК от 28</w:t>
      </w: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.11.202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3</w:t>
      </w: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был</w:t>
      </w:r>
      <w:r w:rsidR="00652B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</w:t>
      </w: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указано, что</w:t>
      </w: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ДГХ не запланированы доходы в виде 70% арендной платы за имущество муниципальных унитарных предприятий, закрепленное за ним на праве хозяйственного ведения, согласно решению Евпаторийского городского совета Республики </w:t>
      </w:r>
      <w:r w:rsidR="00652B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Крым от 26.08.2022 №2-56/6</w:t>
      </w: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.</w:t>
      </w:r>
    </w:p>
    <w:p w:rsidR="0001299F" w:rsidRPr="0001299F" w:rsidRDefault="0001299F" w:rsidP="0001299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  <w:u w:val="single"/>
        </w:rPr>
      </w:pPr>
      <w:r w:rsidRPr="0001299F">
        <w:rPr>
          <w:rFonts w:ascii="Times New Roman" w:eastAsia="Arial Unicode MS" w:hAnsi="Times New Roman" w:cs="Times New Roman"/>
          <w:bCs/>
          <w:kern w:val="3"/>
          <w:sz w:val="26"/>
          <w:szCs w:val="26"/>
          <w:u w:val="single"/>
        </w:rPr>
        <w:t>ДГХ рекомендовалось спрогнозировать поступления 70% арендной платы от муниципальных унитарных предприятий, деятельность которых планируется в 2024 году.</w:t>
      </w:r>
    </w:p>
    <w:p w:rsidR="0001299F" w:rsidRPr="0001299F" w:rsidRDefault="0001299F" w:rsidP="0001299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>Таким образом, прогнозные показатели поступления в части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занижены главным администратор</w:t>
      </w:r>
      <w:r>
        <w:rPr>
          <w:rFonts w:ascii="Times New Roman" w:eastAsia="Arial Unicode MS" w:hAnsi="Times New Roman" w:cs="Times New Roman"/>
          <w:kern w:val="3"/>
          <w:sz w:val="26"/>
          <w:szCs w:val="26"/>
        </w:rPr>
        <w:t>о</w:t>
      </w: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м доходов – департаментом городского хозяйства администрации города Евпатории Республики Крым.  </w:t>
      </w:r>
    </w:p>
    <w:p w:rsidR="0001299F" w:rsidRPr="0001299F" w:rsidRDefault="0001299F" w:rsidP="0001299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6"/>
          <w:szCs w:val="26"/>
        </w:rPr>
      </w:pPr>
      <w:r w:rsidRPr="0001299F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Как следствие, </w:t>
      </w:r>
      <w:r w:rsidRPr="0001299F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>процент выполнения плана по доходам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завышен.</w:t>
      </w:r>
    </w:p>
    <w:p w:rsidR="0001299F" w:rsidRDefault="0001299F" w:rsidP="00EE11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  <w:highlight w:val="yellow"/>
        </w:rPr>
      </w:pPr>
    </w:p>
    <w:p w:rsidR="00652B75" w:rsidRPr="00C87675" w:rsidRDefault="00652B75" w:rsidP="00652B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Годовой план поступления доходов </w:t>
      </w:r>
      <w:r w:rsidRPr="00C87675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исполнен в 1 квартале на 39,2%, при годовом плане 4 472,90 тыс. рублей поступления за 1 квартал составили 1 755,37 тыс. рублей.</w:t>
      </w:r>
    </w:p>
    <w:p w:rsidR="00C87675" w:rsidRDefault="00C87675" w:rsidP="00652B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В</w:t>
      </w:r>
      <w:r w:rsidR="00652B75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заключении КСП ГО Евпатория РК от 28.11.2023 указано, 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что </w:t>
      </w:r>
      <w:r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поступления доходов </w:t>
      </w:r>
      <w:r w:rsidRPr="00C87675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от перечисления части прибыли</w:t>
      </w:r>
      <w:r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 xml:space="preserve"> </w:t>
      </w:r>
      <w:r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было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запланировано только</w:t>
      </w:r>
      <w:r w:rsid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 w:rsidR="00B2480C"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главны</w:t>
      </w:r>
      <w:r w:rsid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м</w:t>
      </w:r>
      <w:r w:rsidR="00B2480C"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администратор</w:t>
      </w:r>
      <w:r w:rsid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ом</w:t>
      </w:r>
      <w:r w:rsid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доходов – администрация</w:t>
      </w:r>
      <w:r w:rsidR="00B2480C"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города Евпатории Республики Крым</w:t>
      </w:r>
      <w:r w:rsid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.</w:t>
      </w:r>
    </w:p>
    <w:p w:rsidR="00C10DAE" w:rsidRDefault="00B2480C" w:rsidP="00C10DA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Г</w:t>
      </w:r>
      <w:r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лавным администратор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</w:t>
      </w:r>
      <w:r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м доходов – 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департаментом городского хозяйства д</w:t>
      </w:r>
      <w:r w:rsidR="00C10DAE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оходы от перечисления части прибыли МУП не планир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овались</w:t>
      </w:r>
      <w:r w:rsidR="00C10DAE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в связи з запланированной реорганизацией МУП «Межхозяйственное объединение «Комбинат благоустройства», МУП «МИР» и МУП «Управком «Уют» в 2023 году, МУ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П «</w:t>
      </w:r>
      <w:proofErr w:type="spellStart"/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Экоград</w:t>
      </w:r>
      <w:proofErr w:type="spellEnd"/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» в феврале 2024 года</w:t>
      </w:r>
      <w:r w:rsidR="00C10DAE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.</w:t>
      </w:r>
    </w:p>
    <w:p w:rsidR="00B2480C" w:rsidRPr="00B2480C" w:rsidRDefault="00B2480C" w:rsidP="00B2480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Согласно данным бюджетной отчетности департамента городского хозяйства</w:t>
      </w:r>
      <w:r w:rsid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 w:rsidR="007E0D06" w:rsidRP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поступления доходов </w:t>
      </w:r>
      <w:r w:rsidR="007E0D06" w:rsidRPr="007E0D06">
        <w:rPr>
          <w:rFonts w:ascii="Times New Roman" w:eastAsia="Arial Unicode MS" w:hAnsi="Times New Roman" w:cs="Times New Roman"/>
          <w:bCs/>
          <w:iCs/>
          <w:kern w:val="3"/>
          <w:sz w:val="26"/>
          <w:szCs w:val="26"/>
        </w:rPr>
        <w:t>от перечисления части прибыли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 w:rsidR="007E0D06"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за 1 квартал составили </w:t>
      </w:r>
      <w:r w:rsid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105,371</w:t>
      </w:r>
      <w:r w:rsidR="007E0D06" w:rsidRPr="00B2480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тыс. рублей</w:t>
      </w:r>
      <w:r w:rsid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, в том числе: от МУП </w:t>
      </w:r>
      <w:r w:rsidR="007E0D06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«М</w:t>
      </w:r>
      <w:r w:rsid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</w:t>
      </w:r>
      <w:r w:rsidR="007E0D06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«Комбинат благоустройства»</w:t>
      </w:r>
      <w:r w:rsid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- 38,98 тыс. рублей, от МУП «МИР» - 60,00 тыс. рублей, МУП </w:t>
      </w:r>
      <w:r w:rsidR="007E0D06" w:rsidRP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«Управком «Уют»</w:t>
      </w:r>
      <w:r w:rsid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- 7,97 тыс. рублей.</w:t>
      </w:r>
    </w:p>
    <w:p w:rsidR="007E0D06" w:rsidRDefault="007E0D06" w:rsidP="007E0D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7E0D06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КСП ГО Евпатория РК отмечает несвоевременное внесение главным администратором доходов бюджета – </w:t>
      </w:r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городского хозяйства</w:t>
      </w:r>
      <w:r w:rsidRPr="007E0D06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 администрации города Евпатории Республики Крым предложений по уточнению (ув</w:t>
      </w:r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еличению) прогноза поступлений, </w:t>
      </w:r>
      <w:r w:rsidR="00396767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ДГХ</w:t>
      </w:r>
      <w:r w:rsidR="00396767" w:rsidRPr="00396767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 соответствующие предложения о внесении изменений в решение о бюджете направлены не были</w:t>
      </w:r>
      <w:r w:rsidRPr="007E0D06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.</w:t>
      </w:r>
      <w:r w:rsidRPr="007E0D06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 </w:t>
      </w:r>
    </w:p>
    <w:p w:rsidR="00652B75" w:rsidRPr="00652B75" w:rsidRDefault="00652B75" w:rsidP="00652B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</w:pPr>
      <w:r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Как следствие, </w:t>
      </w:r>
      <w:r w:rsidRPr="00C87675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процент выполнения плана по доходам </w:t>
      </w:r>
      <w:r w:rsidR="007E0D06" w:rsidRPr="007E0D06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>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="007E0D06" w:rsidRPr="007E0D06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 </w:t>
      </w:r>
      <w:r w:rsidRPr="00C87675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завышен.</w:t>
      </w:r>
    </w:p>
    <w:p w:rsidR="0001299F" w:rsidRDefault="0001299F" w:rsidP="00EE11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  <w:highlight w:val="yellow"/>
        </w:rPr>
      </w:pPr>
    </w:p>
    <w:p w:rsidR="00476CF2" w:rsidRPr="00AF42DE" w:rsidRDefault="00EE118E" w:rsidP="00EE11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Годовой план поступления доходов от продажи материальных и нематериальных ак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тивов исполнен за 1 квартал на 51,6</w:t>
      </w:r>
      <w:r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%. </w:t>
      </w:r>
    </w:p>
    <w:p w:rsidR="00106688" w:rsidRPr="00AF42DE" w:rsidRDefault="00EE118E" w:rsidP="0010668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При годовом плане</w:t>
      </w:r>
      <w:r w:rsidR="00476CF2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27 289,83</w:t>
      </w:r>
      <w:r w:rsidR="00476CF2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</w:t>
      </w:r>
      <w:r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тыс. рублей поступления за 1 квартал составили 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14 081,82 </w:t>
      </w:r>
      <w:r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тыс. рублей</w:t>
      </w:r>
      <w:r w:rsidR="00476CF2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, в том числе по</w:t>
      </w:r>
      <w:r w:rsidR="00106688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доход</w:t>
      </w:r>
      <w:r w:rsidR="00476CF2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ам</w:t>
      </w:r>
      <w:r w:rsidR="00106688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от продажи земельных участков, находящихся в собственности городских округов </w:t>
      </w:r>
      <w:r w:rsidR="00476CF2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п</w:t>
      </w:r>
      <w:r w:rsidR="00106688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ри годовом плане 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3 735,29</w:t>
      </w:r>
      <w:r w:rsidR="00106688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тыс. рублей поступления составили 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11 641,03</w:t>
      </w:r>
      <w:r w:rsidR="00106688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тыс. рублей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- годовой план исполнен на 311,7 </w:t>
      </w:r>
      <w:r w:rsidR="00476CF2" w:rsidRP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%</w:t>
      </w:r>
      <w:r w:rsidR="00AF42DE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.</w:t>
      </w:r>
    </w:p>
    <w:p w:rsidR="00396767" w:rsidRPr="00396767" w:rsidRDefault="00396767" w:rsidP="0039676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 w:rsidRPr="00396767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КСП ГО Евпатория РК отмечает несвоевременное внесение главным администратором доходов бюджета – департаментом имущественных и земельных отношений администрации города Евпатории Республики Крым предложений по уточнению (увеличению) прогноза поступлений. Так, при перевыполнении годового плана поступления доходов от продажи материальных и нематериальных активов в </w:t>
      </w:r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3</w:t>
      </w:r>
      <w:r w:rsidRPr="00396767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 раза ДИЗО соответствующие предложения о внесении изменений в решение о бюджете направлены не были.</w:t>
      </w:r>
      <w:r w:rsidRPr="00396767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 </w:t>
      </w:r>
    </w:p>
    <w:p w:rsidR="007E0D06" w:rsidRDefault="00D23F81" w:rsidP="007E0D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</w:pPr>
      <w:r w:rsidRPr="000941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0D06" w:rsidRPr="00C87675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Как следствие, </w:t>
      </w:r>
      <w:r w:rsidR="007E0D06" w:rsidRPr="00C87675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 xml:space="preserve">процент выполнения плана по доходам </w:t>
      </w:r>
      <w:r w:rsidR="007E0D06" w:rsidRPr="007E0D06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 xml:space="preserve">от продажи материальных и нематериальных активов </w:t>
      </w:r>
      <w:r w:rsidR="007E0D06" w:rsidRPr="00C87675"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  <w:t>завышен.</w:t>
      </w:r>
    </w:p>
    <w:p w:rsidR="005D4AAC" w:rsidRDefault="005D4AAC" w:rsidP="007E0D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</w:rPr>
      </w:pPr>
    </w:p>
    <w:p w:rsidR="006958B9" w:rsidRDefault="005D4AAC" w:rsidP="007E0D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И</w:t>
      </w:r>
      <w:r w:rsidRP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сполнение по </w:t>
      </w:r>
      <w:r w:rsidR="006958B9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доходам от 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штраф</w:t>
      </w:r>
      <w:r w:rsidR="006958B9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ов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, санкци</w:t>
      </w:r>
      <w:r w:rsidR="006958B9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й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, возмещению ущерба </w:t>
      </w:r>
      <w:r w:rsidRP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за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1 квартал</w:t>
      </w:r>
      <w:r w:rsidRP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сложилось с отрицательным значением «-» 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4 511,91</w:t>
      </w:r>
      <w:r w:rsidRP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тыс. руб. </w:t>
      </w:r>
    </w:p>
    <w:p w:rsidR="005D4AAC" w:rsidRDefault="006958B9" w:rsidP="007E0D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В бюджетной отчетности отдела городского строительства п</w:t>
      </w:r>
      <w:r w:rsidR="005D4AAC" w:rsidRPr="005D4AAC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оказатель поступлений доходов с отрицательным значение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м поясняется уточнением в 2024 году платежей </w:t>
      </w:r>
      <w:r w:rsidR="00396767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на общую сумму 8 135 726,49 рублей </w:t>
      </w:r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поступивших в 2023 году по исполнительному листу от ООО «Крым Магистраль Строй» - 8 133 095,30 рублей, по исполнительному производству от </w:t>
      </w:r>
      <w:proofErr w:type="spellStart"/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Ферарио</w:t>
      </w:r>
      <w:proofErr w:type="spellEnd"/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 xml:space="preserve"> С.О. – 5 000,00 рублей, по исполнительному производству от ООО РКФ «</w:t>
      </w:r>
      <w:proofErr w:type="spellStart"/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Дизам</w:t>
      </w:r>
      <w:proofErr w:type="spellEnd"/>
      <w:r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» - 368,81 рублей.</w:t>
      </w:r>
    </w:p>
    <w:p w:rsidR="005D4AAC" w:rsidRDefault="005D4AAC" w:rsidP="007E0D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6"/>
          <w:szCs w:val="26"/>
        </w:rPr>
      </w:pPr>
    </w:p>
    <w:p w:rsidR="00247E02" w:rsidRDefault="00247E02" w:rsidP="00247E02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  <w:r w:rsidRPr="00D53E6B"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  <w:t>Безвозмездные поступления</w:t>
      </w:r>
    </w:p>
    <w:p w:rsidR="00D53E6B" w:rsidRPr="00D53E6B" w:rsidRDefault="00D53E6B" w:rsidP="00247E02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6"/>
          <w:szCs w:val="26"/>
        </w:rPr>
      </w:pPr>
    </w:p>
    <w:p w:rsidR="00247E02" w:rsidRPr="00094124" w:rsidRDefault="00247E02" w:rsidP="00247E02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Решением Евпаторийского городского совета Республики Крым </w:t>
      </w:r>
      <w:r w:rsidR="00F464A8" w:rsidRPr="00F464A8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от 15.12.2023 </w:t>
      </w:r>
      <w:r w:rsidR="00F464A8" w:rsidRPr="00F464A8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№ 2-76/1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утвержден</w:t>
      </w:r>
      <w:r w:rsidR="004606D5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ы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безвозмездные поступления от других бюджетов бюджетной системы РФ в прогнозируемом объёме доходов на 202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 в сумме </w:t>
      </w:r>
      <w:r w:rsidR="00F464A8" w:rsidRPr="00F464A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2 428</w:t>
      </w:r>
      <w:r w:rsidR="00F464A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 </w:t>
      </w:r>
      <w:r w:rsidR="00F464A8" w:rsidRPr="00F464A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356</w:t>
      </w:r>
      <w:r w:rsidR="00F464A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,</w:t>
      </w:r>
      <w:r w:rsidR="00F464A8" w:rsidRPr="00F464A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75</w:t>
      </w:r>
      <w:r w:rsidR="00F464A8">
        <w:rPr>
          <w:rFonts w:ascii="Times New Roman" w:eastAsia="Arial Unicode MS" w:hAnsi="Times New Roman" w:cs="Times New Roman"/>
          <w:bCs/>
          <w:kern w:val="3"/>
          <w:sz w:val="26"/>
          <w:szCs w:val="26"/>
        </w:rPr>
        <w:t>3</w:t>
      </w:r>
      <w:r w:rsidR="006D1B87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тыс. рублей. </w:t>
      </w:r>
    </w:p>
    <w:p w:rsidR="00247E02" w:rsidRPr="00094124" w:rsidRDefault="00247E02" w:rsidP="00247E02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Согласно представленному отчету плановый показатель по безвозмездным поступлениям от других бюджетов бюджетной системы РФ исполнен на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19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%</w:t>
      </w:r>
      <w:r w:rsidR="005D09BE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, ч</w:t>
      </w:r>
      <w:r w:rsidR="002B7374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т</w:t>
      </w:r>
      <w:r w:rsidR="005D09BE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о в сумме составило </w:t>
      </w:r>
      <w:r w:rsidR="00F464A8">
        <w:rPr>
          <w:rFonts w:ascii="Times New Roman" w:eastAsia="Arial Unicode MS" w:hAnsi="Times New Roman" w:cs="Times New Roman"/>
          <w:kern w:val="3"/>
          <w:sz w:val="26"/>
          <w:szCs w:val="26"/>
        </w:rPr>
        <w:t>461 457,950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тыс. рублей.</w:t>
      </w:r>
    </w:p>
    <w:p w:rsidR="00247E02" w:rsidRPr="00094124" w:rsidRDefault="00247E02" w:rsidP="00247E02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Сводные данные по безвозмездным поступлениям приведены в таблице </w:t>
      </w:r>
      <w:r w:rsidR="005D09BE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.</w:t>
      </w:r>
    </w:p>
    <w:p w:rsidR="00247E02" w:rsidRDefault="00247E02" w:rsidP="00247E02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724986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Таблица </w:t>
      </w:r>
      <w:r w:rsidR="005D09BE" w:rsidRPr="00724986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4</w:t>
      </w:r>
      <w:r w:rsidRPr="00A955EA">
        <w:rPr>
          <w:rFonts w:ascii="Times New Roman" w:eastAsia="Arial Unicode MS" w:hAnsi="Times New Roman" w:cs="Times New Roman"/>
          <w:kern w:val="3"/>
          <w:sz w:val="24"/>
          <w:szCs w:val="24"/>
        </w:rPr>
        <w:tab/>
        <w:t xml:space="preserve">                                                                                         тыс. рублей</w:t>
      </w:r>
    </w:p>
    <w:tbl>
      <w:tblPr>
        <w:tblW w:w="97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1985"/>
        <w:gridCol w:w="1984"/>
        <w:gridCol w:w="1308"/>
      </w:tblGrid>
      <w:tr w:rsidR="005D09BE" w:rsidRPr="00F464A8" w:rsidTr="00FB3232">
        <w:trPr>
          <w:trHeight w:val="720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статьи</w:t>
            </w:r>
            <w:proofErr w:type="gramEnd"/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D1B87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План, согласно решению ЕГС от 1</w:t>
            </w:r>
            <w:r w:rsidR="00F464A8"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6D1B87"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.202</w:t>
            </w:r>
            <w:r w:rsidR="00F464A8"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  <w:p w:rsidR="005D09BE" w:rsidRPr="00F464A8" w:rsidRDefault="00F464A8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№2-76</w:t>
            </w:r>
            <w:r w:rsidR="005D09BE"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Исполнено</w:t>
            </w:r>
          </w:p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464A8"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(%) исполнения</w:t>
            </w:r>
          </w:p>
        </w:tc>
      </w:tr>
      <w:tr w:rsidR="005D09BE" w:rsidRPr="00F464A8" w:rsidTr="00FB3232">
        <w:trPr>
          <w:trHeight w:val="315"/>
        </w:trPr>
        <w:tc>
          <w:tcPr>
            <w:tcW w:w="4521" w:type="dxa"/>
            <w:shd w:val="clear" w:color="000000" w:fill="FFFFFF"/>
            <w:vAlign w:val="center"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5D09BE" w:rsidRPr="00F464A8" w:rsidRDefault="005D09BE" w:rsidP="0039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64A8" w:rsidRPr="00F464A8" w:rsidTr="00FB3232">
        <w:trPr>
          <w:trHeight w:val="489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F464A8" w:rsidRPr="00F464A8" w:rsidRDefault="00F464A8" w:rsidP="00396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2 428 356,753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461 457,950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19,000</w:t>
            </w:r>
          </w:p>
        </w:tc>
      </w:tr>
      <w:tr w:rsidR="00F464A8" w:rsidRPr="00F464A8" w:rsidTr="00FB3232">
        <w:trPr>
          <w:trHeight w:val="291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F464A8" w:rsidRPr="00F464A8" w:rsidRDefault="00F464A8" w:rsidP="0039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144,720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F464A8" w:rsidRPr="00F464A8" w:rsidTr="00FB3232">
        <w:trPr>
          <w:trHeight w:val="341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F464A8" w:rsidRPr="00F464A8" w:rsidRDefault="00F464A8" w:rsidP="0039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689 433,806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17 809,735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2,583</w:t>
            </w:r>
          </w:p>
        </w:tc>
      </w:tr>
      <w:tr w:rsidR="00F464A8" w:rsidRPr="00F464A8" w:rsidTr="00FB3232">
        <w:trPr>
          <w:trHeight w:val="263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F464A8" w:rsidRPr="00F464A8" w:rsidRDefault="00F464A8" w:rsidP="0039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1 738 344,047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446 052,084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25,660</w:t>
            </w:r>
          </w:p>
        </w:tc>
      </w:tr>
      <w:tr w:rsidR="00F464A8" w:rsidRPr="00F464A8" w:rsidTr="00FB3232">
        <w:trPr>
          <w:trHeight w:val="776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F464A8" w:rsidRPr="00F464A8" w:rsidRDefault="00F464A8" w:rsidP="0039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для осуществления возврата излишне уплаченных (</w:t>
            </w:r>
            <w:proofErr w:type="spellStart"/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взысканых</w:t>
            </w:r>
            <w:proofErr w:type="spellEnd"/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сумм иных платежей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-27,469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4A8" w:rsidRPr="00F464A8" w:rsidTr="00FB3232">
        <w:trPr>
          <w:trHeight w:val="109"/>
        </w:trPr>
        <w:tc>
          <w:tcPr>
            <w:tcW w:w="4521" w:type="dxa"/>
            <w:shd w:val="clear" w:color="000000" w:fill="FFFFFF"/>
            <w:vAlign w:val="center"/>
            <w:hideMark/>
          </w:tcPr>
          <w:p w:rsidR="00F464A8" w:rsidRPr="00F464A8" w:rsidRDefault="00F464A8" w:rsidP="0039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возврата остатков субсидий прошлых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69,081</w:t>
            </w:r>
          </w:p>
        </w:tc>
        <w:tc>
          <w:tcPr>
            <w:tcW w:w="1308" w:type="dxa"/>
            <w:shd w:val="clear" w:color="000000" w:fill="FFFFFF"/>
            <w:vAlign w:val="center"/>
          </w:tcPr>
          <w:p w:rsidR="00F464A8" w:rsidRPr="00F464A8" w:rsidRDefault="00F464A8" w:rsidP="0039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47E02" w:rsidRDefault="00247E02" w:rsidP="00247E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24"/>
        </w:rPr>
      </w:pPr>
    </w:p>
    <w:p w:rsidR="00BC064D" w:rsidRDefault="00BC064D" w:rsidP="00247E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24"/>
        </w:rPr>
      </w:pPr>
    </w:p>
    <w:p w:rsidR="00331A5C" w:rsidRPr="00094124" w:rsidRDefault="000A34EB" w:rsidP="00331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Times New Roman"/>
          <w:b/>
          <w:bCs/>
          <w:noProof/>
          <w:kern w:val="3"/>
          <w:sz w:val="26"/>
          <w:szCs w:val="26"/>
          <w:lang w:eastAsia="ru-RU"/>
        </w:rPr>
      </w:pPr>
      <w:r w:rsidRPr="00094124">
        <w:rPr>
          <w:rFonts w:ascii="Times New Roman" w:eastAsia="Arial Unicode MS" w:hAnsi="Times New Roman" w:cs="Times New Roman"/>
          <w:b/>
          <w:bCs/>
          <w:noProof/>
          <w:kern w:val="3"/>
          <w:sz w:val="26"/>
          <w:szCs w:val="26"/>
          <w:lang w:eastAsia="ru-RU"/>
        </w:rPr>
        <w:t xml:space="preserve">3. </w:t>
      </w:r>
      <w:r w:rsidR="00331A5C" w:rsidRPr="00094124">
        <w:rPr>
          <w:rFonts w:ascii="Times New Roman" w:eastAsia="Arial Unicode MS" w:hAnsi="Times New Roman" w:cs="Times New Roman"/>
          <w:b/>
          <w:bCs/>
          <w:noProof/>
          <w:kern w:val="3"/>
          <w:sz w:val="26"/>
          <w:szCs w:val="26"/>
          <w:lang w:eastAsia="ru-RU"/>
        </w:rPr>
        <w:t>Структура расходов бюджета городского округа Евпатория Республики Крым по разделам классификации расходов.</w:t>
      </w:r>
    </w:p>
    <w:p w:rsidR="00331A5C" w:rsidRPr="00094124" w:rsidRDefault="00331A5C" w:rsidP="00331A5C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В таблице </w:t>
      </w:r>
      <w:r w:rsidR="00705E56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5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проанализировано исполнение бюджета по расходам </w:t>
      </w:r>
      <w:r w:rsidR="00705E56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за 1 квартал 202</w:t>
      </w:r>
      <w:r w:rsidR="007C3E51">
        <w:rPr>
          <w:rFonts w:ascii="Times New Roman" w:eastAsia="Arial Unicode MS" w:hAnsi="Times New Roman" w:cs="Times New Roman"/>
          <w:kern w:val="3"/>
          <w:sz w:val="26"/>
          <w:szCs w:val="26"/>
        </w:rPr>
        <w:t>4</w:t>
      </w:r>
      <w:r w:rsidR="00705E56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 xml:space="preserve"> года </w:t>
      </w:r>
      <w:r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в разрезе разделов классификации расходо</w:t>
      </w:r>
      <w:r w:rsidR="00705E56" w:rsidRPr="00094124">
        <w:rPr>
          <w:rFonts w:ascii="Times New Roman" w:eastAsia="Arial Unicode MS" w:hAnsi="Times New Roman" w:cs="Times New Roman"/>
          <w:kern w:val="3"/>
          <w:sz w:val="26"/>
          <w:szCs w:val="26"/>
        </w:rPr>
        <w:t>в бюджетов Российской Федерации.</w:t>
      </w:r>
    </w:p>
    <w:p w:rsidR="00331A5C" w:rsidRDefault="00F3240E" w:rsidP="00331A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       </w:t>
      </w:r>
      <w:proofErr w:type="spellStart"/>
      <w:r w:rsidR="00331A5C" w:rsidRPr="00F3240E">
        <w:rPr>
          <w:rFonts w:ascii="Times New Roman" w:eastAsia="Arial Unicode MS" w:hAnsi="Times New Roman" w:cs="Times New Roman"/>
          <w:bCs/>
          <w:kern w:val="3"/>
          <w:sz w:val="24"/>
          <w:szCs w:val="24"/>
          <w:lang w:val="en-US"/>
        </w:rPr>
        <w:t>Таблица</w:t>
      </w:r>
      <w:proofErr w:type="spellEnd"/>
      <w:r w:rsidR="00331A5C" w:rsidRPr="00F3240E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</w:t>
      </w:r>
      <w:r w:rsidR="00705E56" w:rsidRPr="00F3240E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5</w:t>
      </w:r>
      <w:r w:rsidR="00331A5C" w:rsidRPr="00F3240E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331A5C" w:rsidRPr="00331A5C">
        <w:rPr>
          <w:rFonts w:ascii="Times New Roman" w:eastAsia="Arial Unicode MS" w:hAnsi="Times New Roman" w:cs="Times New Roman"/>
          <w:kern w:val="3"/>
          <w:sz w:val="24"/>
          <w:szCs w:val="24"/>
          <w:lang w:val="en-US"/>
        </w:rPr>
        <w:t>тыс</w:t>
      </w:r>
      <w:proofErr w:type="spellEnd"/>
      <w:r w:rsidR="00331A5C" w:rsidRPr="00331A5C">
        <w:rPr>
          <w:rFonts w:ascii="Times New Roman" w:eastAsia="Arial Unicode MS" w:hAnsi="Times New Roman" w:cs="Times New Roman"/>
          <w:kern w:val="3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Arial Unicode MS" w:hAnsi="Times New Roman" w:cs="Times New Roman"/>
          <w:kern w:val="3"/>
          <w:sz w:val="24"/>
          <w:szCs w:val="24"/>
        </w:rPr>
        <w:t>р</w:t>
      </w:r>
      <w:proofErr w:type="spellStart"/>
      <w:r w:rsidR="00331A5C" w:rsidRPr="00331A5C">
        <w:rPr>
          <w:rFonts w:ascii="Times New Roman" w:eastAsia="Arial Unicode MS" w:hAnsi="Times New Roman" w:cs="Times New Roman"/>
          <w:kern w:val="3"/>
          <w:sz w:val="24"/>
          <w:szCs w:val="24"/>
          <w:lang w:val="en-US"/>
        </w:rPr>
        <w:t>уб</w:t>
      </w:r>
      <w:proofErr w:type="spellEnd"/>
      <w:r w:rsidR="00331A5C" w:rsidRPr="00331A5C">
        <w:rPr>
          <w:rFonts w:ascii="Times New Roman" w:eastAsia="Arial Unicode MS" w:hAnsi="Times New Roman" w:cs="Times New Roman"/>
          <w:kern w:val="3"/>
          <w:sz w:val="24"/>
          <w:szCs w:val="24"/>
        </w:rPr>
        <w:t>лей</w:t>
      </w:r>
      <w:proofErr w:type="gramEnd"/>
    </w:p>
    <w:p w:rsidR="00331A5C" w:rsidRPr="00331A5C" w:rsidRDefault="00331A5C" w:rsidP="00331A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570"/>
        <w:gridCol w:w="1385"/>
        <w:gridCol w:w="1106"/>
        <w:gridCol w:w="1471"/>
        <w:gridCol w:w="1093"/>
      </w:tblGrid>
      <w:tr w:rsidR="00705E56" w:rsidRPr="007C3E51" w:rsidTr="0032140D">
        <w:trPr>
          <w:trHeight w:val="315"/>
        </w:trPr>
        <w:tc>
          <w:tcPr>
            <w:tcW w:w="3214" w:type="dxa"/>
            <w:vMerge w:val="restart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02" w:type="dxa"/>
            <w:vMerge w:val="restart"/>
            <w:shd w:val="clear" w:color="000000" w:fill="FFFFFF"/>
            <w:vAlign w:val="center"/>
            <w:hideMark/>
          </w:tcPr>
          <w:p w:rsidR="00705E56" w:rsidRPr="007C3E51" w:rsidRDefault="00705E56" w:rsidP="007C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Утвержденные бюджетные назначения на 202</w:t>
            </w:r>
            <w:r w:rsidR="007C3E51"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2" w:type="dxa"/>
            <w:vMerge w:val="restart"/>
            <w:shd w:val="clear" w:color="000000" w:fill="FFFFFF"/>
            <w:vAlign w:val="center"/>
            <w:hideMark/>
          </w:tcPr>
          <w:p w:rsidR="00705E56" w:rsidRPr="007C3E51" w:rsidRDefault="00705E56" w:rsidP="007C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Исполнено назначений за 1 квартал 202</w:t>
            </w:r>
            <w:r w:rsidR="007C3E51"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01" w:type="dxa"/>
            <w:gridSpan w:val="3"/>
            <w:shd w:val="clear" w:color="000000" w:fill="FFFFFF"/>
            <w:vAlign w:val="center"/>
            <w:hideMark/>
          </w:tcPr>
          <w:p w:rsidR="00705E56" w:rsidRPr="007C3E51" w:rsidRDefault="00705E56" w:rsidP="007C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Результат исполнения за 1 квартал 202</w:t>
            </w:r>
            <w:r w:rsidR="007C3E51"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05E56" w:rsidRPr="007C3E51" w:rsidTr="0032140D">
        <w:trPr>
          <w:trHeight w:val="300"/>
        </w:trPr>
        <w:tc>
          <w:tcPr>
            <w:tcW w:w="3214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% (гр.3/гр2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(+/-)  </w:t>
            </w:r>
          </w:p>
        </w:tc>
        <w:tc>
          <w:tcPr>
            <w:tcW w:w="1097" w:type="dxa"/>
            <w:vMerge w:val="restart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Доля расходов в общем объеме расходов</w:t>
            </w:r>
          </w:p>
        </w:tc>
      </w:tr>
      <w:tr w:rsidR="00705E56" w:rsidRPr="007C3E51" w:rsidTr="0032140D">
        <w:trPr>
          <w:trHeight w:val="315"/>
        </w:trPr>
        <w:tc>
          <w:tcPr>
            <w:tcW w:w="3214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*100)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(гр.3-гр.2)</w:t>
            </w:r>
          </w:p>
        </w:tc>
        <w:tc>
          <w:tcPr>
            <w:tcW w:w="1097" w:type="dxa"/>
            <w:vMerge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5E56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705E56" w:rsidRPr="007C3E51" w:rsidRDefault="00705E56" w:rsidP="00F3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E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236 417,42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38 989,55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-197 427,866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7C3E51" w:rsidRPr="007C3E51" w:rsidTr="0032140D">
        <w:trPr>
          <w:trHeight w:val="40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15 926,26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sz w:val="20"/>
                <w:szCs w:val="20"/>
              </w:rPr>
              <w:t>4 391,91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-11 534,350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278 754,54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28 345,26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-250 409,280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7C3E51" w:rsidRPr="007C3E51" w:rsidTr="0032140D">
        <w:trPr>
          <w:trHeight w:val="247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680 429,74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110 923,82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-569 505,915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396767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396767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2 166 866,86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396767" w:rsidRDefault="007C3E51" w:rsidP="003A5C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sz w:val="20"/>
                <w:szCs w:val="20"/>
              </w:rPr>
              <w:t>436 964,59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396767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396767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-1 729 902,273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396767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52,6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121 660,66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sz w:val="20"/>
                <w:szCs w:val="20"/>
              </w:rPr>
              <w:t>28 210,70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-93 449,955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547 027,38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sz w:val="20"/>
                <w:szCs w:val="20"/>
              </w:rPr>
              <w:t>148 919,11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-398 108,264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17,9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105 308,52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sz w:val="20"/>
                <w:szCs w:val="20"/>
              </w:rPr>
              <w:t>28 759,50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-76 549,015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1200 Средства массовой информации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22 467,33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sz w:val="20"/>
                <w:szCs w:val="20"/>
              </w:rPr>
              <w:t>5 566,55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-16 900,774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7C3E51" w:rsidRPr="007C3E51" w:rsidTr="0032140D">
        <w:trPr>
          <w:trHeight w:val="315"/>
        </w:trPr>
        <w:tc>
          <w:tcPr>
            <w:tcW w:w="3214" w:type="dxa"/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4 174 858,700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831 071,009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-3 343 787,691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7C3E51" w:rsidRPr="007C3E51" w:rsidRDefault="007C3E51" w:rsidP="003A5C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331A5C" w:rsidRPr="00331A5C" w:rsidRDefault="00331A5C" w:rsidP="00331A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4"/>
          <w:szCs w:val="24"/>
        </w:rPr>
      </w:pPr>
    </w:p>
    <w:p w:rsidR="00094124" w:rsidRPr="00A0227B" w:rsidRDefault="00094124" w:rsidP="0009412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неисполнение бюджетных назначений приходятся на разделы:</w:t>
      </w:r>
    </w:p>
    <w:p w:rsidR="0082476B" w:rsidRPr="0082476B" w:rsidRDefault="00A0227B" w:rsidP="0082476B">
      <w:pPr>
        <w:pStyle w:val="a3"/>
        <w:widowControl w:val="0"/>
        <w:numPr>
          <w:ilvl w:val="0"/>
          <w:numId w:val="47"/>
        </w:numPr>
        <w:suppressAutoHyphens/>
        <w:autoSpaceDN w:val="0"/>
        <w:ind w:left="0" w:firstLine="709"/>
        <w:jc w:val="both"/>
        <w:textAlignment w:val="baseline"/>
        <w:rPr>
          <w:sz w:val="26"/>
          <w:szCs w:val="26"/>
        </w:rPr>
      </w:pPr>
      <w:r w:rsidRPr="00A25D6E">
        <w:rPr>
          <w:sz w:val="26"/>
          <w:szCs w:val="26"/>
          <w:u w:val="single"/>
        </w:rPr>
        <w:t xml:space="preserve"> </w:t>
      </w:r>
      <w:r w:rsidR="00094124" w:rsidRPr="00A25D6E">
        <w:rPr>
          <w:sz w:val="26"/>
          <w:szCs w:val="26"/>
          <w:u w:val="single"/>
        </w:rPr>
        <w:t>«Национальная экономика».</w:t>
      </w:r>
      <w:r w:rsidR="00094124" w:rsidRPr="00A25D6E">
        <w:rPr>
          <w:sz w:val="26"/>
          <w:szCs w:val="26"/>
        </w:rPr>
        <w:t xml:space="preserve"> Годовые назначения за 1 квартал 202</w:t>
      </w:r>
      <w:r w:rsidRPr="00A25D6E">
        <w:rPr>
          <w:sz w:val="26"/>
          <w:szCs w:val="26"/>
        </w:rPr>
        <w:t>4</w:t>
      </w:r>
      <w:r w:rsidR="00094124" w:rsidRPr="00A25D6E">
        <w:rPr>
          <w:sz w:val="26"/>
          <w:szCs w:val="26"/>
        </w:rPr>
        <w:t xml:space="preserve"> года исполнены </w:t>
      </w:r>
      <w:r w:rsidR="00094124" w:rsidRPr="0082476B">
        <w:rPr>
          <w:sz w:val="26"/>
          <w:szCs w:val="26"/>
        </w:rPr>
        <w:t>на 1</w:t>
      </w:r>
      <w:r w:rsidRPr="0082476B">
        <w:rPr>
          <w:sz w:val="26"/>
          <w:szCs w:val="26"/>
        </w:rPr>
        <w:t>0</w:t>
      </w:r>
      <w:r w:rsidR="00094124" w:rsidRPr="0082476B">
        <w:rPr>
          <w:sz w:val="26"/>
          <w:szCs w:val="26"/>
        </w:rPr>
        <w:t>,</w:t>
      </w:r>
      <w:r w:rsidRPr="0082476B">
        <w:rPr>
          <w:sz w:val="26"/>
          <w:szCs w:val="26"/>
        </w:rPr>
        <w:t>2</w:t>
      </w:r>
      <w:r w:rsidR="00094124" w:rsidRPr="0082476B">
        <w:rPr>
          <w:sz w:val="26"/>
          <w:szCs w:val="26"/>
        </w:rPr>
        <w:t xml:space="preserve">%. При годовом плане </w:t>
      </w:r>
      <w:r w:rsidRPr="0082476B">
        <w:rPr>
          <w:bCs/>
          <w:sz w:val="26"/>
          <w:szCs w:val="26"/>
        </w:rPr>
        <w:t xml:space="preserve">278 754,54 </w:t>
      </w:r>
      <w:r w:rsidR="00094124" w:rsidRPr="0082476B">
        <w:rPr>
          <w:sz w:val="26"/>
          <w:szCs w:val="26"/>
        </w:rPr>
        <w:t xml:space="preserve">тыс. рублей не исполнены назначения на сумму </w:t>
      </w:r>
      <w:r w:rsidRPr="0082476B">
        <w:rPr>
          <w:bCs/>
          <w:sz w:val="26"/>
          <w:szCs w:val="26"/>
        </w:rPr>
        <w:t xml:space="preserve">250 409,280 </w:t>
      </w:r>
      <w:r w:rsidR="00094124" w:rsidRPr="0082476B">
        <w:rPr>
          <w:sz w:val="26"/>
          <w:szCs w:val="26"/>
        </w:rPr>
        <w:t xml:space="preserve">тыс. рублей.  </w:t>
      </w:r>
    </w:p>
    <w:p w:rsidR="0082476B" w:rsidRDefault="00094124" w:rsidP="0082476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2476B">
        <w:rPr>
          <w:rFonts w:ascii="Times New Roman" w:hAnsi="Times New Roman" w:cs="Times New Roman"/>
          <w:sz w:val="26"/>
          <w:szCs w:val="26"/>
        </w:rPr>
        <w:t>Наибольшее неисполнение допущено</w:t>
      </w:r>
      <w:r w:rsidR="0082476B">
        <w:rPr>
          <w:rFonts w:ascii="Times New Roman" w:hAnsi="Times New Roman" w:cs="Times New Roman"/>
          <w:sz w:val="26"/>
          <w:szCs w:val="26"/>
        </w:rPr>
        <w:t>:</w:t>
      </w:r>
    </w:p>
    <w:p w:rsidR="00094124" w:rsidRPr="00CA754C" w:rsidRDefault="0082476B" w:rsidP="0082476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94124" w:rsidRPr="0082476B">
        <w:rPr>
          <w:rFonts w:ascii="Times New Roman" w:hAnsi="Times New Roman" w:cs="Times New Roman"/>
          <w:sz w:val="26"/>
          <w:szCs w:val="26"/>
        </w:rPr>
        <w:t xml:space="preserve">тделом городского строительства администрации города Евпатории Республики Крым, которым из общей суммы назначений по разделу «Национальная экономика» - </w:t>
      </w:r>
      <w:r w:rsidR="00A0227B" w:rsidRPr="0082476B">
        <w:rPr>
          <w:rFonts w:ascii="Times New Roman" w:hAnsi="Times New Roman" w:cs="Times New Roman"/>
          <w:sz w:val="26"/>
          <w:szCs w:val="26"/>
        </w:rPr>
        <w:t>118 085,572</w:t>
      </w:r>
      <w:r w:rsidR="00094124" w:rsidRPr="0082476B">
        <w:rPr>
          <w:rFonts w:ascii="Times New Roman" w:hAnsi="Times New Roman" w:cs="Times New Roman"/>
          <w:sz w:val="26"/>
          <w:szCs w:val="26"/>
        </w:rPr>
        <w:t xml:space="preserve"> тыс. рублей не исполнены </w:t>
      </w:r>
      <w:r w:rsidR="00094124" w:rsidRPr="00CA754C">
        <w:rPr>
          <w:rFonts w:ascii="Times New Roman" w:hAnsi="Times New Roman" w:cs="Times New Roman"/>
          <w:sz w:val="26"/>
          <w:szCs w:val="26"/>
        </w:rPr>
        <w:t xml:space="preserve">назначения в сумме </w:t>
      </w:r>
      <w:r w:rsidR="00A0227B" w:rsidRPr="00CA754C">
        <w:rPr>
          <w:rFonts w:ascii="Times New Roman" w:hAnsi="Times New Roman" w:cs="Times New Roman"/>
          <w:sz w:val="26"/>
          <w:szCs w:val="26"/>
        </w:rPr>
        <w:t>114 989,763 тыс. рублей (97,4</w:t>
      </w:r>
      <w:r w:rsidR="00094124" w:rsidRPr="00CA754C">
        <w:rPr>
          <w:rFonts w:ascii="Times New Roman" w:hAnsi="Times New Roman" w:cs="Times New Roman"/>
          <w:sz w:val="26"/>
          <w:szCs w:val="26"/>
        </w:rPr>
        <w:t>%), в т.ч. по мероприятию «Реконструкция набережной им. Терешковой с прилегающим сквером им. Караева с берегоукрепительными работами, Республика Крым, г. Евпатория»</w:t>
      </w:r>
      <w:r w:rsidR="00782FBE">
        <w:rPr>
          <w:rFonts w:ascii="Times New Roman" w:hAnsi="Times New Roman" w:cs="Times New Roman"/>
          <w:sz w:val="26"/>
          <w:szCs w:val="26"/>
        </w:rPr>
        <w:t xml:space="preserve"> -</w:t>
      </w:r>
      <w:r w:rsidR="00782FBE" w:rsidRPr="00782FBE">
        <w:rPr>
          <w:rFonts w:ascii="Times New Roman" w:hAnsi="Times New Roman" w:cs="Times New Roman"/>
          <w:sz w:val="26"/>
          <w:szCs w:val="26"/>
        </w:rPr>
        <w:t xml:space="preserve"> </w:t>
      </w:r>
      <w:r w:rsidR="00782FBE" w:rsidRPr="00CA754C">
        <w:rPr>
          <w:rFonts w:ascii="Times New Roman" w:hAnsi="Times New Roman" w:cs="Times New Roman"/>
          <w:sz w:val="26"/>
          <w:szCs w:val="26"/>
        </w:rPr>
        <w:t>100 001,05 тыс.</w:t>
      </w:r>
      <w:r w:rsidR="00782FBE">
        <w:rPr>
          <w:rFonts w:ascii="Times New Roman" w:hAnsi="Times New Roman" w:cs="Times New Roman"/>
          <w:sz w:val="26"/>
          <w:szCs w:val="26"/>
        </w:rPr>
        <w:t xml:space="preserve"> </w:t>
      </w:r>
      <w:r w:rsidR="00782FBE" w:rsidRPr="00CA754C">
        <w:rPr>
          <w:rFonts w:ascii="Times New Roman" w:hAnsi="Times New Roman" w:cs="Times New Roman"/>
          <w:sz w:val="26"/>
          <w:szCs w:val="26"/>
        </w:rPr>
        <w:t>руб</w:t>
      </w:r>
      <w:r w:rsidR="00782FBE">
        <w:rPr>
          <w:rFonts w:ascii="Times New Roman" w:hAnsi="Times New Roman" w:cs="Times New Roman"/>
          <w:sz w:val="26"/>
          <w:szCs w:val="26"/>
        </w:rPr>
        <w:t>лей (99,9%).</w:t>
      </w:r>
    </w:p>
    <w:p w:rsidR="0082476B" w:rsidRDefault="0082476B" w:rsidP="0082476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A754C">
        <w:rPr>
          <w:rFonts w:ascii="Times New Roman" w:hAnsi="Times New Roman" w:cs="Times New Roman"/>
          <w:sz w:val="26"/>
          <w:szCs w:val="26"/>
        </w:rPr>
        <w:t xml:space="preserve">Департаментом городского хозяйства администрации города Евпатории Республики Крым, которым из общей суммы назначений по разделу «Национальная экономика» - 124 957,1 тыс. рублей не исполнены назначения в сумме 107 957,03 тыс. рублей (86,34%), в </w:t>
      </w:r>
      <w:r w:rsidR="00782FBE" w:rsidRPr="00CA754C">
        <w:rPr>
          <w:rFonts w:ascii="Times New Roman" w:hAnsi="Times New Roman" w:cs="Times New Roman"/>
          <w:sz w:val="26"/>
          <w:szCs w:val="26"/>
        </w:rPr>
        <w:t>т.</w:t>
      </w:r>
      <w:r w:rsidR="00782FBE">
        <w:rPr>
          <w:rFonts w:ascii="Times New Roman" w:hAnsi="Times New Roman" w:cs="Times New Roman"/>
          <w:sz w:val="26"/>
          <w:szCs w:val="26"/>
        </w:rPr>
        <w:t>ч.</w:t>
      </w:r>
      <w:r w:rsidR="00CA754C">
        <w:rPr>
          <w:rFonts w:ascii="Times New Roman" w:hAnsi="Times New Roman" w:cs="Times New Roman"/>
          <w:sz w:val="26"/>
          <w:szCs w:val="26"/>
        </w:rPr>
        <w:t xml:space="preserve">: </w:t>
      </w:r>
      <w:r w:rsidR="00782FBE">
        <w:rPr>
          <w:rFonts w:ascii="Times New Roman" w:hAnsi="Times New Roman" w:cs="Times New Roman"/>
          <w:sz w:val="26"/>
          <w:szCs w:val="26"/>
        </w:rPr>
        <w:t>по подразделу 0408 «Транспорт» (</w:t>
      </w:r>
      <w:r w:rsidR="00CA754C" w:rsidRPr="00CA754C">
        <w:rPr>
          <w:rFonts w:ascii="Times New Roman" w:hAnsi="Times New Roman" w:cs="Times New Roman"/>
          <w:sz w:val="26"/>
          <w:szCs w:val="26"/>
        </w:rPr>
        <w:t>работ</w:t>
      </w:r>
      <w:r w:rsidR="00782FBE">
        <w:rPr>
          <w:rFonts w:ascii="Times New Roman" w:hAnsi="Times New Roman" w:cs="Times New Roman"/>
          <w:sz w:val="26"/>
          <w:szCs w:val="26"/>
        </w:rPr>
        <w:t>ы</w:t>
      </w:r>
      <w:r w:rsidR="00CA754C" w:rsidRPr="00CA754C">
        <w:rPr>
          <w:rFonts w:ascii="Times New Roman" w:hAnsi="Times New Roman" w:cs="Times New Roman"/>
          <w:sz w:val="26"/>
          <w:szCs w:val="26"/>
        </w:rPr>
        <w:t>, связанны</w:t>
      </w:r>
      <w:r w:rsidR="00782FBE">
        <w:rPr>
          <w:rFonts w:ascii="Times New Roman" w:hAnsi="Times New Roman" w:cs="Times New Roman"/>
          <w:sz w:val="26"/>
          <w:szCs w:val="26"/>
        </w:rPr>
        <w:t>е</w:t>
      </w:r>
      <w:r w:rsidR="00CA754C" w:rsidRPr="00CA754C">
        <w:rPr>
          <w:rFonts w:ascii="Times New Roman" w:hAnsi="Times New Roman" w:cs="Times New Roman"/>
          <w:sz w:val="26"/>
          <w:szCs w:val="26"/>
        </w:rPr>
        <w:t xml:space="preserve"> с осуществлением регулярных перевозок пассажиров</w:t>
      </w:r>
      <w:r w:rsidR="00782FBE">
        <w:rPr>
          <w:rFonts w:ascii="Times New Roman" w:hAnsi="Times New Roman" w:cs="Times New Roman"/>
          <w:sz w:val="26"/>
          <w:szCs w:val="26"/>
        </w:rPr>
        <w:t xml:space="preserve">) - </w:t>
      </w:r>
      <w:r w:rsidR="00CA754C">
        <w:rPr>
          <w:rFonts w:ascii="Times New Roman" w:hAnsi="Times New Roman" w:cs="Times New Roman"/>
          <w:sz w:val="26"/>
          <w:szCs w:val="26"/>
        </w:rPr>
        <w:t xml:space="preserve">34 077,393 тыс.руб. (89,61%); </w:t>
      </w:r>
      <w:r w:rsidR="00782FBE">
        <w:rPr>
          <w:rFonts w:ascii="Times New Roman" w:hAnsi="Times New Roman" w:cs="Times New Roman"/>
          <w:sz w:val="26"/>
          <w:szCs w:val="26"/>
        </w:rPr>
        <w:t>по подразделу 0409 «Дорожное хозяйство (дорожные фонды)» (</w:t>
      </w:r>
      <w:r w:rsidR="00782FBE" w:rsidRPr="00782FBE">
        <w:rPr>
          <w:rFonts w:ascii="Times New Roman" w:hAnsi="Times New Roman" w:cs="Times New Roman"/>
          <w:sz w:val="26"/>
          <w:szCs w:val="26"/>
        </w:rPr>
        <w:t>содержание автомобильных дорог</w:t>
      </w:r>
      <w:r w:rsidR="00782FBE">
        <w:rPr>
          <w:rFonts w:ascii="Times New Roman" w:hAnsi="Times New Roman" w:cs="Times New Roman"/>
          <w:sz w:val="26"/>
          <w:szCs w:val="26"/>
        </w:rPr>
        <w:t>,</w:t>
      </w:r>
      <w:r w:rsidR="00782FBE" w:rsidRPr="00782FBE">
        <w:rPr>
          <w:rFonts w:ascii="Times New Roman" w:hAnsi="Times New Roman" w:cs="Times New Roman"/>
          <w:sz w:val="26"/>
          <w:szCs w:val="26"/>
        </w:rPr>
        <w:t xml:space="preserve"> нанесение дорожной разметки</w:t>
      </w:r>
      <w:r w:rsidR="0091786F">
        <w:rPr>
          <w:rFonts w:ascii="Times New Roman" w:hAnsi="Times New Roman" w:cs="Times New Roman"/>
          <w:sz w:val="26"/>
          <w:szCs w:val="26"/>
        </w:rPr>
        <w:t>)</w:t>
      </w:r>
      <w:r w:rsidR="00782FBE">
        <w:rPr>
          <w:rFonts w:ascii="Times New Roman" w:hAnsi="Times New Roman" w:cs="Times New Roman"/>
          <w:sz w:val="26"/>
          <w:szCs w:val="26"/>
        </w:rPr>
        <w:t xml:space="preserve"> – 56 385,924 тыс.руб. (100%).</w:t>
      </w:r>
    </w:p>
    <w:p w:rsidR="00DC3725" w:rsidRPr="00EF5F52" w:rsidRDefault="00DC7887" w:rsidP="0032140D">
      <w:pPr>
        <w:pStyle w:val="a3"/>
        <w:widowControl w:val="0"/>
        <w:numPr>
          <w:ilvl w:val="0"/>
          <w:numId w:val="47"/>
        </w:numPr>
        <w:suppressAutoHyphens/>
        <w:autoSpaceDN w:val="0"/>
        <w:ind w:left="0" w:firstLine="709"/>
        <w:jc w:val="both"/>
        <w:textAlignment w:val="baseline"/>
        <w:rPr>
          <w:sz w:val="26"/>
          <w:szCs w:val="26"/>
        </w:rPr>
      </w:pPr>
      <w:r w:rsidRPr="00EF5F52">
        <w:rPr>
          <w:sz w:val="26"/>
          <w:szCs w:val="26"/>
          <w:u w:val="single"/>
        </w:rPr>
        <w:t xml:space="preserve"> </w:t>
      </w:r>
      <w:r w:rsidR="00A25D6E" w:rsidRPr="00EF5F52">
        <w:rPr>
          <w:sz w:val="26"/>
          <w:szCs w:val="26"/>
          <w:u w:val="single"/>
        </w:rPr>
        <w:t xml:space="preserve">«Общегосударственные вопросы». </w:t>
      </w:r>
      <w:r w:rsidR="00A25D6E" w:rsidRPr="00EF5F52">
        <w:rPr>
          <w:sz w:val="26"/>
          <w:szCs w:val="26"/>
        </w:rPr>
        <w:t xml:space="preserve">Годовые назначения за 1 квартал 2024 года исполнены на 16,5%. При годовом плане </w:t>
      </w:r>
      <w:r w:rsidR="00A25D6E" w:rsidRPr="00EF5F52">
        <w:rPr>
          <w:bCs/>
          <w:sz w:val="26"/>
          <w:szCs w:val="26"/>
        </w:rPr>
        <w:t xml:space="preserve">236 417,42 </w:t>
      </w:r>
      <w:r w:rsidR="00A25D6E" w:rsidRPr="00EF5F52">
        <w:rPr>
          <w:sz w:val="26"/>
          <w:szCs w:val="26"/>
        </w:rPr>
        <w:t xml:space="preserve">тыс. рублей не исполнены назначения на сумму </w:t>
      </w:r>
      <w:r w:rsidR="00A25D6E" w:rsidRPr="00EF5F52">
        <w:rPr>
          <w:bCs/>
          <w:sz w:val="26"/>
          <w:szCs w:val="26"/>
        </w:rPr>
        <w:t xml:space="preserve">197 427,866 </w:t>
      </w:r>
      <w:r w:rsidR="00A25D6E" w:rsidRPr="00EF5F52">
        <w:rPr>
          <w:sz w:val="26"/>
          <w:szCs w:val="26"/>
        </w:rPr>
        <w:t xml:space="preserve">тыс. рублей. Наибольшее неисполнение допущено </w:t>
      </w:r>
      <w:proofErr w:type="gramStart"/>
      <w:r w:rsidR="003A5CB3" w:rsidRPr="00EF5F52">
        <w:rPr>
          <w:sz w:val="26"/>
          <w:szCs w:val="26"/>
        </w:rPr>
        <w:t>администрацией города Евпатории</w:t>
      </w:r>
      <w:proofErr w:type="gramEnd"/>
      <w:r w:rsidR="00A25D6E" w:rsidRPr="00EF5F52">
        <w:rPr>
          <w:sz w:val="26"/>
          <w:szCs w:val="26"/>
        </w:rPr>
        <w:t xml:space="preserve"> которой из общей суммы назначений по разделу «Общегосударственные вопросы» - 132 042,600 тыс. рублей не исполнены назначения в сумме 106 712,614 тыс. рублей (80,8%)</w:t>
      </w:r>
      <w:r w:rsidR="00DC3725" w:rsidRPr="00EF5F52">
        <w:rPr>
          <w:sz w:val="26"/>
          <w:szCs w:val="26"/>
        </w:rPr>
        <w:t>.</w:t>
      </w:r>
      <w:r w:rsidR="00A25D6E" w:rsidRPr="00EF5F52">
        <w:rPr>
          <w:sz w:val="26"/>
          <w:szCs w:val="26"/>
        </w:rPr>
        <w:t xml:space="preserve"> </w:t>
      </w:r>
      <w:r w:rsidR="00DC3725" w:rsidRPr="00EF5F52">
        <w:rPr>
          <w:sz w:val="26"/>
          <w:szCs w:val="26"/>
        </w:rPr>
        <w:t>Каких-либо пояснений по факту существенного неисполнения бюджетных назначений кроме «Оплата работ «по факту» на основании актов выполненных работ» в бюджетной отчетности администрации не приведено.</w:t>
      </w:r>
    </w:p>
    <w:p w:rsidR="00DC3725" w:rsidRPr="00EF5F52" w:rsidRDefault="00DC3725" w:rsidP="00DC3725">
      <w:pPr>
        <w:pStyle w:val="a3"/>
        <w:widowControl w:val="0"/>
        <w:suppressAutoHyphens/>
        <w:autoSpaceDN w:val="0"/>
        <w:ind w:left="0" w:firstLine="709"/>
        <w:jc w:val="both"/>
        <w:textAlignment w:val="baseline"/>
        <w:rPr>
          <w:sz w:val="26"/>
          <w:szCs w:val="26"/>
        </w:rPr>
      </w:pPr>
      <w:r w:rsidRPr="00DC3725">
        <w:rPr>
          <w:sz w:val="26"/>
          <w:szCs w:val="26"/>
        </w:rPr>
        <w:t xml:space="preserve">Остаток средств </w:t>
      </w:r>
      <w:r w:rsidRPr="00EF5F52">
        <w:rPr>
          <w:sz w:val="26"/>
          <w:szCs w:val="26"/>
        </w:rPr>
        <w:t>резервного фонда администрации города Евпатории Республики Крым составил 40 518,056 тыс. руб.</w:t>
      </w:r>
    </w:p>
    <w:p w:rsidR="00EF5F52" w:rsidRPr="00EF5F52" w:rsidRDefault="00094124" w:rsidP="00EF5F52">
      <w:pPr>
        <w:pStyle w:val="a3"/>
        <w:widowControl w:val="0"/>
        <w:numPr>
          <w:ilvl w:val="0"/>
          <w:numId w:val="47"/>
        </w:numPr>
        <w:suppressAutoHyphens/>
        <w:autoSpaceDN w:val="0"/>
        <w:ind w:left="0" w:firstLine="709"/>
        <w:jc w:val="both"/>
        <w:textAlignment w:val="baseline"/>
        <w:rPr>
          <w:sz w:val="26"/>
          <w:szCs w:val="26"/>
        </w:rPr>
      </w:pPr>
      <w:r w:rsidRPr="00EF5F52">
        <w:rPr>
          <w:sz w:val="26"/>
          <w:szCs w:val="26"/>
          <w:u w:val="single"/>
        </w:rPr>
        <w:t>«</w:t>
      </w:r>
      <w:r w:rsidR="00DC7887" w:rsidRPr="00EF5F52">
        <w:rPr>
          <w:bCs/>
          <w:sz w:val="26"/>
          <w:szCs w:val="26"/>
          <w:u w:val="single"/>
        </w:rPr>
        <w:t>Жилищно-коммунальное хозяйство</w:t>
      </w:r>
      <w:r w:rsidRPr="00EF5F52">
        <w:rPr>
          <w:sz w:val="26"/>
          <w:szCs w:val="26"/>
          <w:u w:val="single"/>
        </w:rPr>
        <w:t>».</w:t>
      </w:r>
      <w:r w:rsidRPr="00EF5F52">
        <w:rPr>
          <w:sz w:val="26"/>
          <w:szCs w:val="26"/>
        </w:rPr>
        <w:t xml:space="preserve"> Годовые назначения за 1 квартал 202</w:t>
      </w:r>
      <w:r w:rsidR="00DC3725" w:rsidRPr="00EF5F52">
        <w:rPr>
          <w:sz w:val="26"/>
          <w:szCs w:val="26"/>
        </w:rPr>
        <w:t xml:space="preserve">4 </w:t>
      </w:r>
      <w:r w:rsidRPr="00EF5F52">
        <w:rPr>
          <w:sz w:val="26"/>
          <w:szCs w:val="26"/>
        </w:rPr>
        <w:t xml:space="preserve">года исполнены на </w:t>
      </w:r>
      <w:r w:rsidR="00EF5F52" w:rsidRPr="00EF5F52">
        <w:rPr>
          <w:sz w:val="26"/>
          <w:szCs w:val="26"/>
        </w:rPr>
        <w:t>16,3</w:t>
      </w:r>
      <w:r w:rsidRPr="00EF5F52">
        <w:rPr>
          <w:sz w:val="26"/>
          <w:szCs w:val="26"/>
        </w:rPr>
        <w:t xml:space="preserve">%. При годовом плане </w:t>
      </w:r>
      <w:r w:rsidR="00EF5F52" w:rsidRPr="00EF5F52">
        <w:rPr>
          <w:sz w:val="26"/>
          <w:szCs w:val="26"/>
        </w:rPr>
        <w:t>680 429,74</w:t>
      </w:r>
      <w:r w:rsidRPr="00EF5F52">
        <w:rPr>
          <w:sz w:val="26"/>
          <w:szCs w:val="26"/>
        </w:rPr>
        <w:t xml:space="preserve"> тыс. рублей не исполнены назначения на сумму </w:t>
      </w:r>
      <w:r w:rsidR="00EF5F52" w:rsidRPr="00EF5F52">
        <w:rPr>
          <w:sz w:val="26"/>
          <w:szCs w:val="26"/>
        </w:rPr>
        <w:t>569 505,915</w:t>
      </w:r>
      <w:r w:rsidRPr="00EF5F52">
        <w:rPr>
          <w:sz w:val="26"/>
          <w:szCs w:val="26"/>
        </w:rPr>
        <w:t xml:space="preserve"> тыс. рублей.  </w:t>
      </w:r>
      <w:r w:rsidR="00EF5F52" w:rsidRPr="00EF5F52">
        <w:rPr>
          <w:sz w:val="26"/>
          <w:szCs w:val="26"/>
        </w:rPr>
        <w:t xml:space="preserve">Неисполнение по данному разделу допущено департаментом городского хозяйства администрации города Евпатории Республики Крым. Наибольшая доля неисполненных назначений – </w:t>
      </w:r>
      <w:r w:rsidR="00EF5F52">
        <w:rPr>
          <w:sz w:val="26"/>
          <w:szCs w:val="26"/>
        </w:rPr>
        <w:t>543 231,842</w:t>
      </w:r>
      <w:r w:rsidR="00EF5F52" w:rsidRPr="00EF5F52">
        <w:rPr>
          <w:sz w:val="26"/>
          <w:szCs w:val="26"/>
        </w:rPr>
        <w:t xml:space="preserve"> тыс. руб. приходится на подраздел 0503 «Благоустройство», неисполнение бюджетных назначений поясняется ДГХ «Оплат</w:t>
      </w:r>
      <w:r w:rsidR="00EF5F52">
        <w:rPr>
          <w:sz w:val="26"/>
          <w:szCs w:val="26"/>
        </w:rPr>
        <w:t>ой</w:t>
      </w:r>
      <w:r w:rsidR="00EF5F52" w:rsidRPr="00EF5F52">
        <w:rPr>
          <w:sz w:val="26"/>
          <w:szCs w:val="26"/>
        </w:rPr>
        <w:t xml:space="preserve"> работ «по факту» на основании актов выполненных работ»</w:t>
      </w:r>
      <w:r w:rsidR="00EF5F52">
        <w:rPr>
          <w:sz w:val="26"/>
          <w:szCs w:val="26"/>
        </w:rPr>
        <w:t>.</w:t>
      </w:r>
    </w:p>
    <w:p w:rsidR="00AD4C42" w:rsidRPr="00094124" w:rsidRDefault="00AD4C42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6"/>
          <w:szCs w:val="26"/>
        </w:rPr>
      </w:pPr>
    </w:p>
    <w:p w:rsidR="005D09BE" w:rsidRPr="00094124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kern w:val="3"/>
          <w:sz w:val="26"/>
          <w:szCs w:val="26"/>
        </w:rPr>
        <w:t xml:space="preserve">4 Анализ расходов бюджета по ведомственной структуре расходов бюджета. </w:t>
      </w:r>
    </w:p>
    <w:p w:rsidR="005D09BE" w:rsidRDefault="005D09BE" w:rsidP="005D09BE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фактического исполнения бюджета городского округа по ведомственной структуре расходов за 1 квартал 202</w:t>
      </w:r>
      <w:r w:rsidR="006005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приведен в таблице </w:t>
      </w:r>
      <w:r w:rsidR="00F3240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09BE" w:rsidRPr="00CA060E" w:rsidRDefault="005D09BE" w:rsidP="005D09BE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</w:t>
      </w:r>
      <w:r w:rsidR="00F3240E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тыс. рублей</w:t>
      </w: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2954"/>
        <w:gridCol w:w="1580"/>
        <w:gridCol w:w="1275"/>
        <w:gridCol w:w="1114"/>
        <w:gridCol w:w="1672"/>
        <w:gridCol w:w="1026"/>
      </w:tblGrid>
      <w:tr w:rsidR="00E77568" w:rsidRPr="009721D8" w:rsidTr="00FB3232">
        <w:trPr>
          <w:trHeight w:val="360"/>
        </w:trPr>
        <w:tc>
          <w:tcPr>
            <w:tcW w:w="29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7568" w:rsidRPr="009721D8" w:rsidRDefault="00E77568" w:rsidP="007C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7568" w:rsidRPr="009721D8" w:rsidRDefault="00E77568" w:rsidP="007C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</w:t>
            </w:r>
            <w:r w:rsidR="007C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7568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назначений за 1 квартал </w:t>
            </w:r>
          </w:p>
          <w:p w:rsidR="00E77568" w:rsidRPr="009721D8" w:rsidRDefault="00E77568" w:rsidP="007C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7C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7568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6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7568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  <w:p w:rsidR="00E77568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7568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расходов в общем объеме расходов </w:t>
            </w:r>
          </w:p>
        </w:tc>
      </w:tr>
      <w:tr w:rsidR="0069259B" w:rsidRPr="009721D8" w:rsidTr="00FB3232">
        <w:trPr>
          <w:trHeight w:val="360"/>
        </w:trPr>
        <w:tc>
          <w:tcPr>
            <w:tcW w:w="295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9B" w:rsidRPr="009721D8" w:rsidTr="00FB3232">
        <w:trPr>
          <w:trHeight w:val="360"/>
        </w:trPr>
        <w:tc>
          <w:tcPr>
            <w:tcW w:w="295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9B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9259B" w:rsidRPr="009721D8" w:rsidRDefault="0069259B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7568"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9259B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9259B"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9259B" w:rsidRPr="009721D8" w:rsidRDefault="00E77568" w:rsidP="0097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9259B" w:rsidRPr="009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Евпаторийский городской совет Республики Крым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10 587,768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2 675,467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-7 912,301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7C3E51" w:rsidRPr="009721D8" w:rsidTr="00FB3232">
        <w:trPr>
          <w:trHeight w:val="30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КСП ГО Евпатория РК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8 553,123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2 597,640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-5 955,483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396767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города Евпатории Республики Крым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396767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170 805,816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396767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34 930,916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396767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396767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-135 874,900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396767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Департамент финансов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12 387,516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3 382,960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-9 004,556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766A3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766A33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т.ч. Средства резервного фонда, зарезервированные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42 945,000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-42 945,000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3E51" w:rsidRPr="00766A33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22 370,000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3 083,965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-19 286,035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C3E51" w:rsidRPr="00766A33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848 148,726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128 368,790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-719 779,936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Департамент труда и социальной защиты населения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470 763,877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142 906,955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-327 856,922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</w:tr>
      <w:tr w:rsidR="007C3E51" w:rsidRPr="009721D8" w:rsidTr="00FB3232">
        <w:trPr>
          <w:trHeight w:val="285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10 236,347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3 085,918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-7 150,429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потребительского рынка и развития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8 234,441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1 953,355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-6 281,086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7C3E51" w:rsidRPr="009721D8" w:rsidTr="00FB3232">
        <w:trPr>
          <w:trHeight w:val="255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1 692 516,724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417 258,064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-1 275 258,660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50,2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Отдел архитектуры и градостроительства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12 794,540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3 095,572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-9 698,968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C3E51" w:rsidRPr="009721D8" w:rsidTr="00FB3232">
        <w:trPr>
          <w:trHeight w:val="30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Отдел городского строительства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524 079,190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3 095,809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-520 983,381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Департамент культуры, спорта, молодежной политики и межнациональных отношений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340 435,632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84 635,596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-255 800,035</w:t>
            </w:r>
          </w:p>
        </w:tc>
        <w:tc>
          <w:tcPr>
            <w:tcW w:w="102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C3E51" w:rsidRPr="00766A33" w:rsidRDefault="007C3E51" w:rsidP="007C3E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6A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</w:t>
            </w:r>
          </w:p>
        </w:tc>
      </w:tr>
      <w:tr w:rsidR="007C3E51" w:rsidRPr="009721D8" w:rsidTr="00FB3232">
        <w:trPr>
          <w:trHeight w:val="360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9721D8" w:rsidRDefault="007C3E51" w:rsidP="007C3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21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4 174 858,700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831 071,009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-3 300 842,691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C3E51" w:rsidRPr="007C3E51" w:rsidRDefault="007C3E51" w:rsidP="007C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3E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</w:tbl>
    <w:p w:rsidR="0069259B" w:rsidRDefault="0069259B" w:rsidP="0069259B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09BE" w:rsidRPr="00094124" w:rsidRDefault="005D09BE" w:rsidP="005D09BE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внешней проверки отчета об исполнении бюджета городского округа Евпатория Республики Крым </w:t>
      </w:r>
      <w:r w:rsidR="003F18DA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1 квартал 202</w:t>
      </w:r>
      <w:r w:rsidR="00766A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F18DA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выборочно проверено соответствие одноименных отдельных показателей, указанных в отчете об исполнении бюджета, показателям отчетности главных администраторов бюджетных средств, обобщенным путем суммирования. Расхождений не установлено.</w:t>
      </w:r>
    </w:p>
    <w:p w:rsidR="003F18DA" w:rsidRPr="00094124" w:rsidRDefault="003F18DA" w:rsidP="005D09BE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квартале 202</w:t>
      </w:r>
      <w:r w:rsidR="00766A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047CDE"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по расходам испол</w:t>
      </w:r>
      <w:r w:rsidR="00766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 на 19,9</w:t>
      </w:r>
      <w:r w:rsidRPr="0009412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годовых назначений.</w:t>
      </w:r>
    </w:p>
    <w:p w:rsidR="005D09BE" w:rsidRPr="00094124" w:rsidRDefault="003F18DA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Наиболее низкое исполнение плановых показателей</w:t>
      </w:r>
      <w:r w:rsidR="005D09BE"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 допущено:</w:t>
      </w:r>
    </w:p>
    <w:p w:rsidR="005D09BE" w:rsidRPr="00094124" w:rsidRDefault="00C64E3C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О</w:t>
      </w:r>
      <w:r w:rsidR="005D09BE"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тделом городского строительства администрации города Евпатории Республики Крым </w:t>
      </w: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исполнено </w:t>
      </w:r>
      <w:r w:rsidR="00766A33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0,6</w:t>
      </w: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% годовых плановых показателей по расходам. 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Исполнены назначения в сумме </w:t>
      </w:r>
      <w:r w:rsidR="00766A33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3 095,809 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тыс. рублей, из которых </w:t>
      </w:r>
      <w:r w:rsidR="00684CEE"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2 455,806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тыс. руб</w:t>
      </w:r>
      <w:r w:rsidR="00766A33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. (82,86</w:t>
      </w:r>
      <w:r w:rsidR="00684CEE"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%)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– фонд оплаты труда с начислениями</w:t>
      </w:r>
      <w:r w:rsidR="001F6D66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, 431,579 тыс.руб. (13,94%) – расходы на обеспечение деятельности ОГС и МКУ «УКС»</w:t>
      </w: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.</w:t>
      </w:r>
    </w:p>
    <w:p w:rsidR="00C64E3C" w:rsidRDefault="00C64E3C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Департаментом </w:t>
      </w:r>
      <w:r w:rsidR="00EA3BA0"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имущественных и земельных отношений</w:t>
      </w: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 администрации города Евпатории Республики Крым бюджет по расходам исполнен на </w:t>
      </w:r>
      <w:r w:rsidR="00EA3BA0"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1</w:t>
      </w:r>
      <w:r w:rsidR="001F6D66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3,8</w:t>
      </w:r>
      <w:r w:rsidRPr="00094124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% от утвержденного годового объема расходов. </w:t>
      </w:r>
      <w:r w:rsidR="00EA3BA0"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Исполнены назначения в сумме </w:t>
      </w:r>
      <w:r w:rsidR="001F6D66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3 083,965</w:t>
      </w:r>
      <w:r w:rsidR="00EA3BA0"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тыс. рублей, из которых </w:t>
      </w:r>
      <w:r w:rsidR="001F6D66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3 062,909 тыс. руб. (99,32</w:t>
      </w:r>
      <w:r w:rsidR="00EA3BA0"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%) – ф</w:t>
      </w:r>
      <w:r w:rsidR="001F6D66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онд оплаты труда с начислениями</w:t>
      </w:r>
      <w:r w:rsidR="00EA3BA0"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.</w:t>
      </w:r>
    </w:p>
    <w:p w:rsidR="00E62D9E" w:rsidRPr="00E62D9E" w:rsidRDefault="00E62D9E" w:rsidP="00E62D9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</w:pP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От утвержденного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департаменту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годового объема расходов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22 370,00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тыс. руб. расходы на обеспечение выплат по оплате труда работникам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ДИЗО и МКУ «</w:t>
      </w:r>
      <w:r w:rsidR="005837B0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РДИ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» 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составляют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20 807,042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тыс.руб. (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93,01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%), назначения исполнены в сумме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3 062,909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тыс. руб. (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14,72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%).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В бюджетной отчетности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департамента</w:t>
      </w:r>
      <w:r w:rsidRPr="00E62D9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неисполнение назначений поясняет</w:t>
      </w:r>
      <w:r w:rsidR="00FB323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ся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</w:t>
      </w:r>
      <w:r w:rsidR="00782FBE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наличием 13 вакансий</w:t>
      </w:r>
      <w:r w:rsidR="005837B0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, при штатной численности ДИЗО и МКУ «РДИ» 39 штатных единиц на 01.04.2024 фактически занято 26</w:t>
      </w:r>
      <w:r w:rsidR="00EF5F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</w:t>
      </w:r>
      <w:r w:rsidR="00EF5F52" w:rsidRPr="00EF5F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штатных единиц</w:t>
      </w:r>
      <w:r w:rsidR="005837B0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.</w:t>
      </w:r>
    </w:p>
    <w:p w:rsidR="00600591" w:rsidRDefault="00FB0299" w:rsidP="006005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3"/>
          <w:sz w:val="26"/>
          <w:szCs w:val="26"/>
        </w:rPr>
        <w:t xml:space="preserve">Департаментом городского хозяйства </w:t>
      </w:r>
      <w:r w:rsidRPr="00FB0299">
        <w:rPr>
          <w:rFonts w:ascii="Times New Roman" w:eastAsia="Arial Unicode MS" w:hAnsi="Times New Roman" w:cs="Times New Roman"/>
          <w:b/>
          <w:bCs/>
          <w:color w:val="000000"/>
          <w:kern w:val="3"/>
          <w:sz w:val="26"/>
          <w:szCs w:val="26"/>
        </w:rPr>
        <w:t>администрации города Евпатории Республики Крым</w:t>
      </w:r>
      <w:r w:rsidR="00600591" w:rsidRPr="00600591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 xml:space="preserve"> </w:t>
      </w:r>
      <w:r w:rsidR="00600591" w:rsidRPr="00600591">
        <w:rPr>
          <w:rFonts w:ascii="Times New Roman" w:eastAsia="Arial Unicode MS" w:hAnsi="Times New Roman" w:cs="Times New Roman"/>
          <w:b/>
          <w:bCs/>
          <w:color w:val="000000"/>
          <w:kern w:val="3"/>
          <w:sz w:val="26"/>
          <w:szCs w:val="26"/>
        </w:rPr>
        <w:t xml:space="preserve">исполнено </w:t>
      </w:r>
      <w:r w:rsidR="00600591">
        <w:rPr>
          <w:rFonts w:ascii="Times New Roman" w:eastAsia="Arial Unicode MS" w:hAnsi="Times New Roman" w:cs="Times New Roman"/>
          <w:b/>
          <w:bCs/>
          <w:color w:val="000000"/>
          <w:kern w:val="3"/>
          <w:sz w:val="26"/>
          <w:szCs w:val="26"/>
        </w:rPr>
        <w:t>15,1</w:t>
      </w:r>
      <w:r w:rsidR="00600591" w:rsidRPr="00600591">
        <w:rPr>
          <w:rFonts w:ascii="Times New Roman" w:eastAsia="Arial Unicode MS" w:hAnsi="Times New Roman" w:cs="Times New Roman"/>
          <w:b/>
          <w:bCs/>
          <w:color w:val="000000"/>
          <w:kern w:val="3"/>
          <w:sz w:val="26"/>
          <w:szCs w:val="26"/>
        </w:rPr>
        <w:t xml:space="preserve">% годовых плановых показателей по расходам. </w:t>
      </w:r>
      <w:r w:rsidR="00600591" w:rsidRPr="00DC7887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Исполнены назначения в сумме 128 368,79 тыс. </w:t>
      </w:r>
      <w:r w:rsidR="00600591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рублей, из которых </w:t>
      </w:r>
      <w:r w:rsidR="00542D52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54 587,163</w:t>
      </w:r>
      <w:r w:rsidR="00600591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тыс.руб. (</w:t>
      </w:r>
      <w:r w:rsidR="00542D52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42,52</w:t>
      </w:r>
      <w:r w:rsidR="00600591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%) – </w:t>
      </w:r>
      <w:r w:rsidR="00542D52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субсидии на обеспечение деятельности бюджетных учреждений подведомственных департаменту</w:t>
      </w:r>
      <w:r w:rsidR="00EF5F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;</w:t>
      </w:r>
      <w:r w:rsidR="00EF5F52" w:rsidRPr="00EF5F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</w:t>
      </w:r>
      <w:r w:rsidR="00EF5F52" w:rsidRPr="00542D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2 834,631 тыс. руб. (2,21%) – фонд оплаты труда</w:t>
      </w:r>
      <w:r w:rsidR="00EF5F52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ДГХ с начислениями.</w:t>
      </w:r>
    </w:p>
    <w:p w:rsidR="004245F1" w:rsidRPr="004245F1" w:rsidRDefault="004245F1" w:rsidP="004245F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245F1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ДГХ</w:t>
      </w:r>
      <w:r w:rsidRPr="004245F1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не исполнены 100% от утвержденных назначений: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на </w:t>
      </w:r>
      <w:r w:rsidRPr="004245F1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капитальный ремонт дворовых территори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й – 150 150,15 тыс. рублей; на </w:t>
      </w:r>
      <w:r w:rsidR="00232657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к</w:t>
      </w:r>
      <w:r w:rsidR="00232657" w:rsidRPr="00232657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апитальный ремонт общественной территории города Евпатории - площадь Фестивальная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– 83 909,273 тыс. рублей; на </w:t>
      </w:r>
      <w:r w:rsidRPr="004245F1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приобретение игровых площадок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– 15 015,015 тыс. рублей. </w:t>
      </w:r>
      <w:r w:rsidRPr="004245F1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Каких-либо пояснений по факту существенного неисполнения бюджетных назначений кроме «Оплата работ «по факту» на основании актов выполненных работ» в бюджетной отчетности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>ДГХ</w:t>
      </w:r>
      <w:r w:rsidRPr="004245F1">
        <w:rPr>
          <w:rFonts w:ascii="Times New Roman" w:eastAsia="Arial Unicode MS" w:hAnsi="Times New Roman" w:cs="Times New Roman"/>
          <w:bCs/>
          <w:color w:val="000000"/>
          <w:kern w:val="3"/>
          <w:sz w:val="26"/>
          <w:szCs w:val="26"/>
        </w:rPr>
        <w:t xml:space="preserve"> не приведено.</w:t>
      </w:r>
    </w:p>
    <w:p w:rsidR="005D09BE" w:rsidRPr="00094124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094124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Остальными главными распорядителями средств бюджета исполнение по расходам обеспечено на уровне не </w:t>
      </w:r>
      <w:r w:rsidRPr="00396767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менее </w:t>
      </w:r>
      <w:r w:rsidR="00C64E3C" w:rsidRPr="00396767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2</w:t>
      </w:r>
      <w:r w:rsidR="004179EC" w:rsidRPr="00396767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0,5</w:t>
      </w:r>
      <w:r w:rsidRPr="00396767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%.</w:t>
      </w:r>
    </w:p>
    <w:p w:rsidR="005D09BE" w:rsidRPr="00094124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</w:rPr>
      </w:pPr>
    </w:p>
    <w:p w:rsidR="005D09BE" w:rsidRPr="004179EC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5. Анализ использования средств резервного фонда.</w:t>
      </w:r>
    </w:p>
    <w:p w:rsidR="005D09BE" w:rsidRPr="004179EC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Согласно ст. 81 Бюджетного кодекса Российской Федерации в расходной части бюджетов бюджетной системы Российской Федерации предусматривается создание резервных фондов местных администраций.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</w:r>
      <w:r w:rsidRPr="004179E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а также на иные мероприятия, предусмотренные порядком использования бюджетных ассигнований резервного фонда, установленным местной администрацией.</w:t>
      </w:r>
    </w:p>
    <w:p w:rsidR="005D09BE" w:rsidRPr="004179EC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Бюджетные ассигнования резервного фонда используются по решению местной администрации.</w:t>
      </w:r>
    </w:p>
    <w:p w:rsidR="005D09BE" w:rsidRPr="00423AED" w:rsidRDefault="005D09BE" w:rsidP="0040459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Статьей 1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2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решения Евпаторийского городского совета Республики Крым от 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1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5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.12.202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3</w:t>
      </w:r>
      <w:r w:rsidR="008441F6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№2-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76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/1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«О бюджете муниципального образования городской округ Евпатория Республики Крым на 202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 и на плановый период 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202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5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и 202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6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годов» был установлен размер резервного фонда администрации города Евпатории Республики Крым на 202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 в сумме </w:t>
      </w:r>
      <w:r w:rsid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43 </w:t>
      </w:r>
      <w:r w:rsidR="004179EC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971,795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тыс. рублей. </w:t>
      </w:r>
      <w:r w:rsidR="00404598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В 1 квартале 202</w:t>
      </w:r>
      <w:r w:rsidR="004179EC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="00404598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года размер резервного фонда на 202</w:t>
      </w:r>
      <w:r w:rsidR="004179EC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="00404598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 не изменялся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.</w:t>
      </w:r>
    </w:p>
    <w:p w:rsidR="00542D52" w:rsidRPr="00423AED" w:rsidRDefault="008441F6" w:rsidP="00423AE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В</w:t>
      </w:r>
      <w:r w:rsidR="00404598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1 к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вартале 202</w:t>
      </w:r>
      <w:r w:rsidR="003A5CB3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года бюджетные ассигнования резервного фонда были выделены </w:t>
      </w:r>
      <w:r w:rsidR="00423AED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администрации города Евпатории Республики Крым 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в сумме </w:t>
      </w:r>
      <w:r w:rsidR="00423AED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2 122,144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тыс. рублей</w:t>
      </w:r>
      <w:r w:rsidR="00423AED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, департаменту городского хозяйства в сумме 1 331,595</w:t>
      </w:r>
      <w:r w:rsidR="0097047B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тыс. рублей</w:t>
      </w:r>
      <w:r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</w:t>
      </w:r>
      <w:r w:rsidR="00423AED" w:rsidRPr="00423AED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на ликвидацию последствий чрезвычайной ситуации в связи с опасными метеорологическими явлениями и нарушением условий жизнедеятельности.</w:t>
      </w:r>
    </w:p>
    <w:p w:rsidR="005D09BE" w:rsidRPr="00600591" w:rsidRDefault="005D09BE" w:rsidP="005D09B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  <w:highlight w:val="yellow"/>
        </w:rPr>
      </w:pPr>
    </w:p>
    <w:p w:rsidR="005D09BE" w:rsidRPr="004179EC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b/>
          <w:color w:val="000000"/>
          <w:kern w:val="3"/>
          <w:sz w:val="26"/>
          <w:szCs w:val="26"/>
        </w:rPr>
        <w:t>6. Анализ исполнения бюджета по источникам внутреннего финансирования дефицита бюджета, долговых обязательств.</w:t>
      </w:r>
    </w:p>
    <w:p w:rsidR="005D09BE" w:rsidRPr="004179EC" w:rsidRDefault="005D09BE" w:rsidP="005D09B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Решением Евпаторийского городского совета Республики Крым от </w:t>
      </w:r>
      <w:r w:rsidR="004179EC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15.12.2023 №2-76/1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бюджет городского округа на 202</w:t>
      </w:r>
      <w:r w:rsidR="004179EC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 был утвержден без дефицита.</w:t>
      </w:r>
    </w:p>
    <w:p w:rsidR="005D09BE" w:rsidRPr="004179EC" w:rsidRDefault="005D09BE" w:rsidP="005D09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ab/>
        <w:t xml:space="preserve">Фактически бюджет исполнен с </w:t>
      </w:r>
      <w:r w:rsidR="00404598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дефицитом </w:t>
      </w:r>
      <w:r w:rsidR="004179EC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79 037,949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тыс. рублей.</w:t>
      </w:r>
      <w:r w:rsidR="004944E9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Источник финансирования дефицита бюджета - изменение остатков средств на счетах по учету бюджетных средств.</w:t>
      </w:r>
    </w:p>
    <w:p w:rsidR="005D09BE" w:rsidRPr="00094124" w:rsidRDefault="005D09BE" w:rsidP="005D09BE">
      <w:pPr>
        <w:widowControl w:val="0"/>
        <w:suppressAutoHyphens/>
        <w:autoSpaceDN w:val="0"/>
        <w:spacing w:after="0" w:line="240" w:lineRule="auto"/>
        <w:ind w:firstLine="437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</w:pP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ab/>
        <w:t xml:space="preserve">Бюджетные кредиты </w:t>
      </w:r>
      <w:r w:rsidR="004944E9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в 1 квартале 202</w:t>
      </w:r>
      <w:r w:rsidR="004179EC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год</w:t>
      </w:r>
      <w:r w:rsidR="004944E9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а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не привлекались. Муниципальные гарантии муниципального образования городской округ Евпатория Республики Крым не предоставлялись. Муниципальный долг по состоянию на 01.0</w:t>
      </w:r>
      <w:r w:rsidR="004944E9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.202</w:t>
      </w:r>
      <w:r w:rsidR="004179EC"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>4</w:t>
      </w:r>
      <w:r w:rsidRPr="004179EC">
        <w:rPr>
          <w:rFonts w:ascii="Times New Roman" w:eastAsia="Arial Unicode MS" w:hAnsi="Times New Roman" w:cs="Times New Roman"/>
          <w:color w:val="000000"/>
          <w:kern w:val="3"/>
          <w:sz w:val="26"/>
          <w:szCs w:val="26"/>
        </w:rPr>
        <w:t xml:space="preserve"> отсутствует.</w:t>
      </w:r>
    </w:p>
    <w:p w:rsidR="00247E02" w:rsidRPr="00094124" w:rsidRDefault="00247E02" w:rsidP="0076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B6C" w:rsidRPr="00D53E6B" w:rsidRDefault="00CA4B6C" w:rsidP="007606B1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 и предложения</w:t>
      </w:r>
    </w:p>
    <w:p w:rsidR="00CA4B6C" w:rsidRPr="00D53E6B" w:rsidRDefault="00CA4B6C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Представленный отчет об исполнении местного бюджета муниципального образования городской округ Евпатория Республики Крым за </w:t>
      </w:r>
      <w:r w:rsidR="000A34E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1 квартал 202</w:t>
      </w:r>
      <w:r w:rsidR="00500E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A34E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 в соответствии с требованиями Бюджетного кодекса Российской Федерации и Положения о бюджетном процессе в муниципальном образовании городской округ Евпатория Республики Крым.</w:t>
      </w:r>
    </w:p>
    <w:p w:rsidR="00D231D7" w:rsidRPr="00D53E6B" w:rsidRDefault="00D231D7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Факты недостоверности отчета об исполнении бюджета не установлены. В целом показатели отчета соответствуют показателям исполнения бюджета, установленным в ходе экспертно-аналитического мероприятия.</w:t>
      </w:r>
    </w:p>
    <w:p w:rsidR="00CA4B6C" w:rsidRPr="00D53E6B" w:rsidRDefault="00CA4B6C" w:rsidP="00FE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</w:t>
      </w:r>
      <w:r w:rsidR="00B65298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Евпатории Республики Крым:</w:t>
      </w:r>
    </w:p>
    <w:p w:rsidR="00CA4B6C" w:rsidRPr="00D53E6B" w:rsidRDefault="00BA4F67" w:rsidP="00500E61">
      <w:pPr>
        <w:tabs>
          <w:tab w:val="left" w:pos="709"/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0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41F39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CA4B6C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достоверность прогнозирования и эффективность администрирования доходов бюджета, продолжить работу по разработке и реализации комплекса мер, направленных на развитие доходного потенциала бюджета городского округа.</w:t>
      </w:r>
    </w:p>
    <w:p w:rsidR="00CA4B6C" w:rsidRPr="00D53E6B" w:rsidRDefault="00BA4F67" w:rsidP="00500E61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34E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B6C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действенный внутренний финансовый аудит в соответствии со статьей 160.2-1 БК РФ; обеспечить соблюдение бюджетного законодательства РФ и иных нормативных правовых актов, регулирующих бюджетные правоотношения.</w:t>
      </w:r>
    </w:p>
    <w:p w:rsidR="00BC064D" w:rsidRPr="00D53E6B" w:rsidRDefault="00BC064D" w:rsidP="0093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B6C" w:rsidRPr="00D53E6B" w:rsidRDefault="00CA4B6C" w:rsidP="0093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экспертно-аналитического мероприятия:</w:t>
      </w:r>
    </w:p>
    <w:p w:rsidR="00876350" w:rsidRPr="00D53E6B" w:rsidRDefault="00ED542A" w:rsidP="00760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587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E587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B6C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КСП ГО Евпатория РК </w:t>
      </w:r>
      <w:r w:rsidR="00CA4B6C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472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E587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587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0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0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0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587B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Ус</w:t>
      </w:r>
    </w:p>
    <w:p w:rsidR="0097047B" w:rsidRDefault="0097047B" w:rsidP="00BC06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64D" w:rsidRPr="00D53E6B" w:rsidRDefault="0097047B" w:rsidP="00BC06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C064D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</w:t>
      </w:r>
      <w:r w:rsidR="00500E6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C064D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экспертно-аналитического мероприятия:</w:t>
      </w:r>
    </w:p>
    <w:p w:rsidR="00ED542A" w:rsidRPr="00D53E6B" w:rsidRDefault="00ED542A" w:rsidP="00BC06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</w:t>
      </w:r>
    </w:p>
    <w:p w:rsidR="00BC064D" w:rsidRPr="00D53E6B" w:rsidRDefault="00BC064D" w:rsidP="00BC06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КСП ГО Евпатория РК </w:t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2B80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2B80"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04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3E6B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 Гатилова</w:t>
      </w:r>
    </w:p>
    <w:sectPr w:rsidR="00BC064D" w:rsidRPr="00D53E6B" w:rsidSect="00FB3232">
      <w:footerReference w:type="default" r:id="rId9"/>
      <w:pgSz w:w="11906" w:h="16838"/>
      <w:pgMar w:top="851" w:right="707" w:bottom="1135" w:left="1418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32" w:rsidRDefault="00FB3232" w:rsidP="006D1F07">
      <w:pPr>
        <w:spacing w:after="0" w:line="240" w:lineRule="auto"/>
      </w:pPr>
      <w:r>
        <w:separator/>
      </w:r>
    </w:p>
  </w:endnote>
  <w:endnote w:type="continuationSeparator" w:id="0">
    <w:p w:rsidR="00FB3232" w:rsidRDefault="00FB3232" w:rsidP="006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115616"/>
      <w:docPartObj>
        <w:docPartGallery w:val="Page Numbers (Bottom of Page)"/>
        <w:docPartUnique/>
      </w:docPartObj>
    </w:sdtPr>
    <w:sdtContent>
      <w:p w:rsidR="00FB3232" w:rsidRDefault="00FB32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D7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32" w:rsidRDefault="00FB3232" w:rsidP="006D1F07">
      <w:pPr>
        <w:spacing w:after="0" w:line="240" w:lineRule="auto"/>
      </w:pPr>
      <w:r>
        <w:separator/>
      </w:r>
    </w:p>
  </w:footnote>
  <w:footnote w:type="continuationSeparator" w:id="0">
    <w:p w:rsidR="00FB3232" w:rsidRDefault="00FB3232" w:rsidP="006D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BBA"/>
    <w:multiLevelType w:val="hybridMultilevel"/>
    <w:tmpl w:val="BFEA1AF2"/>
    <w:lvl w:ilvl="0" w:tplc="380A2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919A1"/>
    <w:multiLevelType w:val="hybridMultilevel"/>
    <w:tmpl w:val="BDDC39DA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2">
    <w:nsid w:val="06E40546"/>
    <w:multiLevelType w:val="hybridMultilevel"/>
    <w:tmpl w:val="F44EFD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A0078"/>
    <w:multiLevelType w:val="hybridMultilevel"/>
    <w:tmpl w:val="D6C4B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07F45"/>
    <w:multiLevelType w:val="hybridMultilevel"/>
    <w:tmpl w:val="830E0E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E021F"/>
    <w:multiLevelType w:val="hybridMultilevel"/>
    <w:tmpl w:val="B95E0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815DD6"/>
    <w:multiLevelType w:val="hybridMultilevel"/>
    <w:tmpl w:val="8FB6B8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B15B1"/>
    <w:multiLevelType w:val="hybridMultilevel"/>
    <w:tmpl w:val="1AF6C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9103B"/>
    <w:multiLevelType w:val="hybridMultilevel"/>
    <w:tmpl w:val="0B8C7926"/>
    <w:lvl w:ilvl="0" w:tplc="27C4E144">
      <w:start w:val="1"/>
      <w:numFmt w:val="decimal"/>
      <w:lvlText w:val="%1."/>
      <w:lvlJc w:val="left"/>
      <w:pPr>
        <w:ind w:left="2367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9">
    <w:nsid w:val="279D787F"/>
    <w:multiLevelType w:val="hybridMultilevel"/>
    <w:tmpl w:val="D71CE8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ED15354"/>
    <w:multiLevelType w:val="hybridMultilevel"/>
    <w:tmpl w:val="488C97CE"/>
    <w:lvl w:ilvl="0" w:tplc="244E4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0C1ADA"/>
    <w:multiLevelType w:val="hybridMultilevel"/>
    <w:tmpl w:val="D5D4B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7356B1"/>
    <w:multiLevelType w:val="hybridMultilevel"/>
    <w:tmpl w:val="65AE1BE0"/>
    <w:lvl w:ilvl="0" w:tplc="04190009">
      <w:start w:val="1"/>
      <w:numFmt w:val="bullet"/>
      <w:lvlText w:val=""/>
      <w:lvlJc w:val="left"/>
      <w:pPr>
        <w:ind w:left="221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cs="Wingdings" w:hint="default"/>
      </w:rPr>
    </w:lvl>
  </w:abstractNum>
  <w:abstractNum w:abstractNumId="13">
    <w:nsid w:val="374E7907"/>
    <w:multiLevelType w:val="hybridMultilevel"/>
    <w:tmpl w:val="B7501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783300"/>
    <w:multiLevelType w:val="hybridMultilevel"/>
    <w:tmpl w:val="772C3700"/>
    <w:lvl w:ilvl="0" w:tplc="77E4C9A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65DDC"/>
    <w:multiLevelType w:val="hybridMultilevel"/>
    <w:tmpl w:val="325A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5465E"/>
    <w:multiLevelType w:val="hybridMultilevel"/>
    <w:tmpl w:val="83A0214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17">
    <w:nsid w:val="3C9C76B7"/>
    <w:multiLevelType w:val="hybridMultilevel"/>
    <w:tmpl w:val="8AA20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95635"/>
    <w:multiLevelType w:val="hybridMultilevel"/>
    <w:tmpl w:val="7F30E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3410C6"/>
    <w:multiLevelType w:val="hybridMultilevel"/>
    <w:tmpl w:val="DD604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E8F2A4C"/>
    <w:multiLevelType w:val="hybridMultilevel"/>
    <w:tmpl w:val="F5F07A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D368C"/>
    <w:multiLevelType w:val="hybridMultilevel"/>
    <w:tmpl w:val="3D960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497120E"/>
    <w:multiLevelType w:val="hybridMultilevel"/>
    <w:tmpl w:val="E2BE27B4"/>
    <w:lvl w:ilvl="0" w:tplc="9676CB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AF660A"/>
    <w:multiLevelType w:val="hybridMultilevel"/>
    <w:tmpl w:val="BE881E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14660D"/>
    <w:multiLevelType w:val="hybridMultilevel"/>
    <w:tmpl w:val="9D264A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F17B60"/>
    <w:multiLevelType w:val="hybridMultilevel"/>
    <w:tmpl w:val="AAE0C09E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6">
    <w:nsid w:val="49D40651"/>
    <w:multiLevelType w:val="hybridMultilevel"/>
    <w:tmpl w:val="393AEF10"/>
    <w:lvl w:ilvl="0" w:tplc="3D86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072460"/>
    <w:multiLevelType w:val="hybridMultilevel"/>
    <w:tmpl w:val="77E4CD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D16673"/>
    <w:multiLevelType w:val="hybridMultilevel"/>
    <w:tmpl w:val="A1361E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1132F9"/>
    <w:multiLevelType w:val="multilevel"/>
    <w:tmpl w:val="65388D8E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58115A26"/>
    <w:multiLevelType w:val="hybridMultilevel"/>
    <w:tmpl w:val="C8B6857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1">
    <w:nsid w:val="5E1C2C6A"/>
    <w:multiLevelType w:val="hybridMultilevel"/>
    <w:tmpl w:val="94D09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1891161"/>
    <w:multiLevelType w:val="hybridMultilevel"/>
    <w:tmpl w:val="72AED7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2B50776"/>
    <w:multiLevelType w:val="multilevel"/>
    <w:tmpl w:val="4C4E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3DB022F"/>
    <w:multiLevelType w:val="hybridMultilevel"/>
    <w:tmpl w:val="28D270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D7FC4"/>
    <w:multiLevelType w:val="multilevel"/>
    <w:tmpl w:val="9AD69A9C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65C50F71"/>
    <w:multiLevelType w:val="hybridMultilevel"/>
    <w:tmpl w:val="CDC6B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61B5D11"/>
    <w:multiLevelType w:val="hybridMultilevel"/>
    <w:tmpl w:val="3192198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8">
    <w:nsid w:val="72E75F00"/>
    <w:multiLevelType w:val="multilevel"/>
    <w:tmpl w:val="BDA87D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58D06CF"/>
    <w:multiLevelType w:val="hybridMultilevel"/>
    <w:tmpl w:val="90E6415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75BA361B"/>
    <w:multiLevelType w:val="hybridMultilevel"/>
    <w:tmpl w:val="B6FA3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5D12F9A"/>
    <w:multiLevelType w:val="multilevel"/>
    <w:tmpl w:val="D3D06FF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42">
    <w:nsid w:val="75D717CE"/>
    <w:multiLevelType w:val="hybridMultilevel"/>
    <w:tmpl w:val="C1B4C6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3">
    <w:nsid w:val="7AC827D5"/>
    <w:multiLevelType w:val="hybridMultilevel"/>
    <w:tmpl w:val="B582B19E"/>
    <w:lvl w:ilvl="0" w:tplc="7E1C7772">
      <w:start w:val="1"/>
      <w:numFmt w:val="bullet"/>
      <w:lvlText w:val=""/>
      <w:lvlJc w:val="left"/>
      <w:pPr>
        <w:ind w:left="1328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cs="Wingdings" w:hint="default"/>
      </w:rPr>
    </w:lvl>
  </w:abstractNum>
  <w:abstractNum w:abstractNumId="44">
    <w:nsid w:val="7BB76D43"/>
    <w:multiLevelType w:val="hybridMultilevel"/>
    <w:tmpl w:val="44CA7F62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45">
    <w:nsid w:val="7C9F368F"/>
    <w:multiLevelType w:val="hybridMultilevel"/>
    <w:tmpl w:val="FCAAC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E56D9C"/>
    <w:multiLevelType w:val="hybridMultilevel"/>
    <w:tmpl w:val="B6822B22"/>
    <w:lvl w:ilvl="0" w:tplc="0F50DA5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2"/>
  </w:num>
  <w:num w:numId="6">
    <w:abstractNumId w:val="36"/>
  </w:num>
  <w:num w:numId="7">
    <w:abstractNumId w:val="43"/>
  </w:num>
  <w:num w:numId="8">
    <w:abstractNumId w:val="25"/>
  </w:num>
  <w:num w:numId="9">
    <w:abstractNumId w:val="38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21"/>
  </w:num>
  <w:num w:numId="15">
    <w:abstractNumId w:val="44"/>
  </w:num>
  <w:num w:numId="16">
    <w:abstractNumId w:val="37"/>
  </w:num>
  <w:num w:numId="17">
    <w:abstractNumId w:val="19"/>
  </w:num>
  <w:num w:numId="18">
    <w:abstractNumId w:val="42"/>
  </w:num>
  <w:num w:numId="19">
    <w:abstractNumId w:val="12"/>
  </w:num>
  <w:num w:numId="20">
    <w:abstractNumId w:val="31"/>
  </w:num>
  <w:num w:numId="21">
    <w:abstractNumId w:val="15"/>
  </w:num>
  <w:num w:numId="22">
    <w:abstractNumId w:val="40"/>
  </w:num>
  <w:num w:numId="23">
    <w:abstractNumId w:val="30"/>
  </w:num>
  <w:num w:numId="24">
    <w:abstractNumId w:val="35"/>
  </w:num>
  <w:num w:numId="25">
    <w:abstractNumId w:val="41"/>
  </w:num>
  <w:num w:numId="26">
    <w:abstractNumId w:val="29"/>
  </w:num>
  <w:num w:numId="27">
    <w:abstractNumId w:val="39"/>
  </w:num>
  <w:num w:numId="28">
    <w:abstractNumId w:val="3"/>
  </w:num>
  <w:num w:numId="29">
    <w:abstractNumId w:val="11"/>
  </w:num>
  <w:num w:numId="30">
    <w:abstractNumId w:val="34"/>
  </w:num>
  <w:num w:numId="31">
    <w:abstractNumId w:val="0"/>
  </w:num>
  <w:num w:numId="32">
    <w:abstractNumId w:val="26"/>
  </w:num>
  <w:num w:numId="33">
    <w:abstractNumId w:val="32"/>
  </w:num>
  <w:num w:numId="34">
    <w:abstractNumId w:val="13"/>
  </w:num>
  <w:num w:numId="35">
    <w:abstractNumId w:val="20"/>
  </w:num>
  <w:num w:numId="36">
    <w:abstractNumId w:val="6"/>
  </w:num>
  <w:num w:numId="37">
    <w:abstractNumId w:val="28"/>
  </w:num>
  <w:num w:numId="38">
    <w:abstractNumId w:val="23"/>
  </w:num>
  <w:num w:numId="39">
    <w:abstractNumId w:val="27"/>
  </w:num>
  <w:num w:numId="40">
    <w:abstractNumId w:val="4"/>
  </w:num>
  <w:num w:numId="41">
    <w:abstractNumId w:val="2"/>
  </w:num>
  <w:num w:numId="42">
    <w:abstractNumId w:val="14"/>
  </w:num>
  <w:num w:numId="43">
    <w:abstractNumId w:val="46"/>
  </w:num>
  <w:num w:numId="44">
    <w:abstractNumId w:val="7"/>
  </w:num>
  <w:num w:numId="45">
    <w:abstractNumId w:val="10"/>
  </w:num>
  <w:num w:numId="46">
    <w:abstractNumId w:val="2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F3"/>
    <w:rsid w:val="00000359"/>
    <w:rsid w:val="000022C9"/>
    <w:rsid w:val="00003F4E"/>
    <w:rsid w:val="000043AB"/>
    <w:rsid w:val="000048DA"/>
    <w:rsid w:val="00007484"/>
    <w:rsid w:val="00010FE4"/>
    <w:rsid w:val="000113DA"/>
    <w:rsid w:val="000120B2"/>
    <w:rsid w:val="00012333"/>
    <w:rsid w:val="00012757"/>
    <w:rsid w:val="0001299F"/>
    <w:rsid w:val="00012EF0"/>
    <w:rsid w:val="000136EE"/>
    <w:rsid w:val="000141DF"/>
    <w:rsid w:val="00014793"/>
    <w:rsid w:val="000159BC"/>
    <w:rsid w:val="0001713F"/>
    <w:rsid w:val="000173D0"/>
    <w:rsid w:val="0002020F"/>
    <w:rsid w:val="00021CF7"/>
    <w:rsid w:val="0002253D"/>
    <w:rsid w:val="00025407"/>
    <w:rsid w:val="00025713"/>
    <w:rsid w:val="00026532"/>
    <w:rsid w:val="00030517"/>
    <w:rsid w:val="00031109"/>
    <w:rsid w:val="00031714"/>
    <w:rsid w:val="00034AC4"/>
    <w:rsid w:val="00040F50"/>
    <w:rsid w:val="00041D31"/>
    <w:rsid w:val="00043A57"/>
    <w:rsid w:val="00044796"/>
    <w:rsid w:val="00044F4C"/>
    <w:rsid w:val="00045E2A"/>
    <w:rsid w:val="00046E27"/>
    <w:rsid w:val="00047B8A"/>
    <w:rsid w:val="00047CDE"/>
    <w:rsid w:val="00047FA8"/>
    <w:rsid w:val="00047FFA"/>
    <w:rsid w:val="00050819"/>
    <w:rsid w:val="00050AF2"/>
    <w:rsid w:val="00051F5B"/>
    <w:rsid w:val="00052305"/>
    <w:rsid w:val="00052BFF"/>
    <w:rsid w:val="00052D04"/>
    <w:rsid w:val="0005326F"/>
    <w:rsid w:val="00053DF2"/>
    <w:rsid w:val="00054DAF"/>
    <w:rsid w:val="0005591B"/>
    <w:rsid w:val="00057C99"/>
    <w:rsid w:val="00060642"/>
    <w:rsid w:val="00061A56"/>
    <w:rsid w:val="00061D44"/>
    <w:rsid w:val="00061E4B"/>
    <w:rsid w:val="00062554"/>
    <w:rsid w:val="00062AB6"/>
    <w:rsid w:val="00062EDA"/>
    <w:rsid w:val="00063AC2"/>
    <w:rsid w:val="0006515A"/>
    <w:rsid w:val="00067094"/>
    <w:rsid w:val="00067E24"/>
    <w:rsid w:val="0007261B"/>
    <w:rsid w:val="000743CC"/>
    <w:rsid w:val="000775A5"/>
    <w:rsid w:val="00080AFB"/>
    <w:rsid w:val="0008105D"/>
    <w:rsid w:val="000819C6"/>
    <w:rsid w:val="0008292D"/>
    <w:rsid w:val="00083B7E"/>
    <w:rsid w:val="00084C62"/>
    <w:rsid w:val="00084D49"/>
    <w:rsid w:val="000901D9"/>
    <w:rsid w:val="0009195D"/>
    <w:rsid w:val="000928F6"/>
    <w:rsid w:val="00092CC7"/>
    <w:rsid w:val="00094124"/>
    <w:rsid w:val="000A0599"/>
    <w:rsid w:val="000A2938"/>
    <w:rsid w:val="000A34EB"/>
    <w:rsid w:val="000A3590"/>
    <w:rsid w:val="000A586B"/>
    <w:rsid w:val="000A7243"/>
    <w:rsid w:val="000B09DD"/>
    <w:rsid w:val="000B627A"/>
    <w:rsid w:val="000B67B2"/>
    <w:rsid w:val="000C0291"/>
    <w:rsid w:val="000C10E7"/>
    <w:rsid w:val="000C2339"/>
    <w:rsid w:val="000C45B0"/>
    <w:rsid w:val="000C4E2B"/>
    <w:rsid w:val="000C4E3C"/>
    <w:rsid w:val="000C5B0F"/>
    <w:rsid w:val="000C6978"/>
    <w:rsid w:val="000C713C"/>
    <w:rsid w:val="000C7C20"/>
    <w:rsid w:val="000D2526"/>
    <w:rsid w:val="000D26A8"/>
    <w:rsid w:val="000D3AE3"/>
    <w:rsid w:val="000D3EEA"/>
    <w:rsid w:val="000D5681"/>
    <w:rsid w:val="000D61DA"/>
    <w:rsid w:val="000D7DE1"/>
    <w:rsid w:val="000E0202"/>
    <w:rsid w:val="000E05E9"/>
    <w:rsid w:val="000E1229"/>
    <w:rsid w:val="000E2434"/>
    <w:rsid w:val="000E3A37"/>
    <w:rsid w:val="000E3C82"/>
    <w:rsid w:val="000E3DB7"/>
    <w:rsid w:val="000E66AF"/>
    <w:rsid w:val="000E77B4"/>
    <w:rsid w:val="000E7DB5"/>
    <w:rsid w:val="000F0795"/>
    <w:rsid w:val="000F2ECC"/>
    <w:rsid w:val="000F3ACC"/>
    <w:rsid w:val="000F56B1"/>
    <w:rsid w:val="00100876"/>
    <w:rsid w:val="001016BB"/>
    <w:rsid w:val="00101BD9"/>
    <w:rsid w:val="00101F64"/>
    <w:rsid w:val="001020D4"/>
    <w:rsid w:val="0010383F"/>
    <w:rsid w:val="00104A88"/>
    <w:rsid w:val="00106553"/>
    <w:rsid w:val="00106565"/>
    <w:rsid w:val="00106688"/>
    <w:rsid w:val="001070D3"/>
    <w:rsid w:val="00107B2B"/>
    <w:rsid w:val="001135EC"/>
    <w:rsid w:val="00113AB4"/>
    <w:rsid w:val="00114465"/>
    <w:rsid w:val="00114B4F"/>
    <w:rsid w:val="00114DA7"/>
    <w:rsid w:val="00116410"/>
    <w:rsid w:val="001165E0"/>
    <w:rsid w:val="0012095E"/>
    <w:rsid w:val="00120BB3"/>
    <w:rsid w:val="00121915"/>
    <w:rsid w:val="00122E8E"/>
    <w:rsid w:val="00126F9D"/>
    <w:rsid w:val="001270C4"/>
    <w:rsid w:val="001271D1"/>
    <w:rsid w:val="001273ED"/>
    <w:rsid w:val="001300EE"/>
    <w:rsid w:val="0013055F"/>
    <w:rsid w:val="00131BEE"/>
    <w:rsid w:val="00131CCF"/>
    <w:rsid w:val="00131F09"/>
    <w:rsid w:val="001325A9"/>
    <w:rsid w:val="00133C00"/>
    <w:rsid w:val="00133F96"/>
    <w:rsid w:val="00135124"/>
    <w:rsid w:val="00135CDB"/>
    <w:rsid w:val="00136130"/>
    <w:rsid w:val="00136F8A"/>
    <w:rsid w:val="001418E4"/>
    <w:rsid w:val="0014293A"/>
    <w:rsid w:val="00143A6B"/>
    <w:rsid w:val="00145483"/>
    <w:rsid w:val="00147134"/>
    <w:rsid w:val="00147D41"/>
    <w:rsid w:val="001502A7"/>
    <w:rsid w:val="00151E19"/>
    <w:rsid w:val="00153CFA"/>
    <w:rsid w:val="001554DD"/>
    <w:rsid w:val="00156A05"/>
    <w:rsid w:val="00156DA2"/>
    <w:rsid w:val="00156FED"/>
    <w:rsid w:val="00157A99"/>
    <w:rsid w:val="0016047B"/>
    <w:rsid w:val="00161C14"/>
    <w:rsid w:val="0016275F"/>
    <w:rsid w:val="0016388E"/>
    <w:rsid w:val="00164B15"/>
    <w:rsid w:val="00165D3B"/>
    <w:rsid w:val="001669BC"/>
    <w:rsid w:val="00167A12"/>
    <w:rsid w:val="00170335"/>
    <w:rsid w:val="00170483"/>
    <w:rsid w:val="0017082A"/>
    <w:rsid w:val="00173347"/>
    <w:rsid w:val="001736B6"/>
    <w:rsid w:val="001737F8"/>
    <w:rsid w:val="00175C60"/>
    <w:rsid w:val="00177276"/>
    <w:rsid w:val="001776BE"/>
    <w:rsid w:val="00180186"/>
    <w:rsid w:val="00180850"/>
    <w:rsid w:val="0018176F"/>
    <w:rsid w:val="00182A64"/>
    <w:rsid w:val="00182AC5"/>
    <w:rsid w:val="00183420"/>
    <w:rsid w:val="00183D06"/>
    <w:rsid w:val="001863B2"/>
    <w:rsid w:val="001878B9"/>
    <w:rsid w:val="00187BD9"/>
    <w:rsid w:val="0019111F"/>
    <w:rsid w:val="001921EB"/>
    <w:rsid w:val="0019490C"/>
    <w:rsid w:val="00195051"/>
    <w:rsid w:val="0019598E"/>
    <w:rsid w:val="00195A8A"/>
    <w:rsid w:val="0019715A"/>
    <w:rsid w:val="0019725D"/>
    <w:rsid w:val="001977D8"/>
    <w:rsid w:val="001A0F8B"/>
    <w:rsid w:val="001A1E8C"/>
    <w:rsid w:val="001A1FBF"/>
    <w:rsid w:val="001A5270"/>
    <w:rsid w:val="001B0157"/>
    <w:rsid w:val="001B19AC"/>
    <w:rsid w:val="001B2012"/>
    <w:rsid w:val="001B3C72"/>
    <w:rsid w:val="001B63E4"/>
    <w:rsid w:val="001B6776"/>
    <w:rsid w:val="001B7B19"/>
    <w:rsid w:val="001C1162"/>
    <w:rsid w:val="001C131C"/>
    <w:rsid w:val="001C13DE"/>
    <w:rsid w:val="001C3382"/>
    <w:rsid w:val="001C3A2E"/>
    <w:rsid w:val="001C423F"/>
    <w:rsid w:val="001C4779"/>
    <w:rsid w:val="001C4F1C"/>
    <w:rsid w:val="001C5C8C"/>
    <w:rsid w:val="001C6C04"/>
    <w:rsid w:val="001D073F"/>
    <w:rsid w:val="001D0AF4"/>
    <w:rsid w:val="001D10B1"/>
    <w:rsid w:val="001D600D"/>
    <w:rsid w:val="001D6220"/>
    <w:rsid w:val="001D68A7"/>
    <w:rsid w:val="001D6F4A"/>
    <w:rsid w:val="001E1EED"/>
    <w:rsid w:val="001E2C78"/>
    <w:rsid w:val="001E33EA"/>
    <w:rsid w:val="001E5F6C"/>
    <w:rsid w:val="001E695C"/>
    <w:rsid w:val="001F11EE"/>
    <w:rsid w:val="001F197B"/>
    <w:rsid w:val="001F1A36"/>
    <w:rsid w:val="001F3C1A"/>
    <w:rsid w:val="001F4484"/>
    <w:rsid w:val="001F4800"/>
    <w:rsid w:val="001F48FA"/>
    <w:rsid w:val="001F6D66"/>
    <w:rsid w:val="001F73A8"/>
    <w:rsid w:val="001F7982"/>
    <w:rsid w:val="001F7DAB"/>
    <w:rsid w:val="002026FF"/>
    <w:rsid w:val="002037C8"/>
    <w:rsid w:val="0020413F"/>
    <w:rsid w:val="0020640B"/>
    <w:rsid w:val="0020678E"/>
    <w:rsid w:val="0020694B"/>
    <w:rsid w:val="002070BC"/>
    <w:rsid w:val="00207633"/>
    <w:rsid w:val="002120BE"/>
    <w:rsid w:val="0021271C"/>
    <w:rsid w:val="00214331"/>
    <w:rsid w:val="002167A4"/>
    <w:rsid w:val="00216CE1"/>
    <w:rsid w:val="00216D4F"/>
    <w:rsid w:val="00217413"/>
    <w:rsid w:val="00220E99"/>
    <w:rsid w:val="002211E7"/>
    <w:rsid w:val="0022165F"/>
    <w:rsid w:val="00222DEB"/>
    <w:rsid w:val="00222E1E"/>
    <w:rsid w:val="002231EF"/>
    <w:rsid w:val="00227201"/>
    <w:rsid w:val="00227665"/>
    <w:rsid w:val="00227BCF"/>
    <w:rsid w:val="002301E4"/>
    <w:rsid w:val="002305DB"/>
    <w:rsid w:val="00232657"/>
    <w:rsid w:val="00232E4F"/>
    <w:rsid w:val="00233AA8"/>
    <w:rsid w:val="00233F3B"/>
    <w:rsid w:val="002345E6"/>
    <w:rsid w:val="00236C91"/>
    <w:rsid w:val="00240335"/>
    <w:rsid w:val="00241606"/>
    <w:rsid w:val="00244387"/>
    <w:rsid w:val="00245D07"/>
    <w:rsid w:val="00246C2F"/>
    <w:rsid w:val="00247E02"/>
    <w:rsid w:val="00250D10"/>
    <w:rsid w:val="0025151D"/>
    <w:rsid w:val="00251654"/>
    <w:rsid w:val="002529B3"/>
    <w:rsid w:val="0025404F"/>
    <w:rsid w:val="0026052B"/>
    <w:rsid w:val="00262ED3"/>
    <w:rsid w:val="00263D32"/>
    <w:rsid w:val="00266259"/>
    <w:rsid w:val="0026699F"/>
    <w:rsid w:val="00266B07"/>
    <w:rsid w:val="00267231"/>
    <w:rsid w:val="0027204D"/>
    <w:rsid w:val="00272639"/>
    <w:rsid w:val="00272C13"/>
    <w:rsid w:val="002732E9"/>
    <w:rsid w:val="002740F8"/>
    <w:rsid w:val="00274472"/>
    <w:rsid w:val="00274AF7"/>
    <w:rsid w:val="0027526F"/>
    <w:rsid w:val="002814A9"/>
    <w:rsid w:val="00283E71"/>
    <w:rsid w:val="00284418"/>
    <w:rsid w:val="00284ED8"/>
    <w:rsid w:val="002877A1"/>
    <w:rsid w:val="00287FBE"/>
    <w:rsid w:val="00292D6C"/>
    <w:rsid w:val="00292E6B"/>
    <w:rsid w:val="00292ECF"/>
    <w:rsid w:val="002931FB"/>
    <w:rsid w:val="00293D15"/>
    <w:rsid w:val="00293DA0"/>
    <w:rsid w:val="002951F1"/>
    <w:rsid w:val="00296A32"/>
    <w:rsid w:val="00296BCE"/>
    <w:rsid w:val="00296E51"/>
    <w:rsid w:val="002973EE"/>
    <w:rsid w:val="00297FD3"/>
    <w:rsid w:val="002A1703"/>
    <w:rsid w:val="002A3830"/>
    <w:rsid w:val="002A406A"/>
    <w:rsid w:val="002A43B4"/>
    <w:rsid w:val="002A4524"/>
    <w:rsid w:val="002A4E92"/>
    <w:rsid w:val="002A4F08"/>
    <w:rsid w:val="002A63CE"/>
    <w:rsid w:val="002A6F51"/>
    <w:rsid w:val="002B006D"/>
    <w:rsid w:val="002B204A"/>
    <w:rsid w:val="002B2DDE"/>
    <w:rsid w:val="002B3995"/>
    <w:rsid w:val="002B3AA0"/>
    <w:rsid w:val="002B4925"/>
    <w:rsid w:val="002B65BF"/>
    <w:rsid w:val="002B65E4"/>
    <w:rsid w:val="002B7374"/>
    <w:rsid w:val="002B7418"/>
    <w:rsid w:val="002C09E3"/>
    <w:rsid w:val="002C66FE"/>
    <w:rsid w:val="002D076E"/>
    <w:rsid w:val="002D0B98"/>
    <w:rsid w:val="002D2314"/>
    <w:rsid w:val="002D33A2"/>
    <w:rsid w:val="002D5E44"/>
    <w:rsid w:val="002D6D58"/>
    <w:rsid w:val="002D72CA"/>
    <w:rsid w:val="002E225C"/>
    <w:rsid w:val="002E5279"/>
    <w:rsid w:val="002E776A"/>
    <w:rsid w:val="002E7F89"/>
    <w:rsid w:val="002F06E8"/>
    <w:rsid w:val="002F0FF9"/>
    <w:rsid w:val="002F3017"/>
    <w:rsid w:val="002F433B"/>
    <w:rsid w:val="002F47EC"/>
    <w:rsid w:val="002F6D3F"/>
    <w:rsid w:val="00300683"/>
    <w:rsid w:val="0030124E"/>
    <w:rsid w:val="00302C2A"/>
    <w:rsid w:val="00302E7D"/>
    <w:rsid w:val="0030378E"/>
    <w:rsid w:val="003043F3"/>
    <w:rsid w:val="00304DDB"/>
    <w:rsid w:val="00305490"/>
    <w:rsid w:val="003054B5"/>
    <w:rsid w:val="003059E1"/>
    <w:rsid w:val="00305C04"/>
    <w:rsid w:val="00305F75"/>
    <w:rsid w:val="00307380"/>
    <w:rsid w:val="003101F3"/>
    <w:rsid w:val="00311E57"/>
    <w:rsid w:val="00311F2B"/>
    <w:rsid w:val="00313B91"/>
    <w:rsid w:val="00314540"/>
    <w:rsid w:val="0031458B"/>
    <w:rsid w:val="003176C2"/>
    <w:rsid w:val="00317DF3"/>
    <w:rsid w:val="00317F1A"/>
    <w:rsid w:val="0032140D"/>
    <w:rsid w:val="00322B24"/>
    <w:rsid w:val="00324913"/>
    <w:rsid w:val="00325612"/>
    <w:rsid w:val="00326960"/>
    <w:rsid w:val="0032699F"/>
    <w:rsid w:val="00326E63"/>
    <w:rsid w:val="0032799B"/>
    <w:rsid w:val="00327A8D"/>
    <w:rsid w:val="0033058C"/>
    <w:rsid w:val="003312FF"/>
    <w:rsid w:val="00331465"/>
    <w:rsid w:val="00331848"/>
    <w:rsid w:val="00331A5C"/>
    <w:rsid w:val="00331B9B"/>
    <w:rsid w:val="00332F2F"/>
    <w:rsid w:val="00334CD7"/>
    <w:rsid w:val="003361A9"/>
    <w:rsid w:val="00336ECD"/>
    <w:rsid w:val="00340CB0"/>
    <w:rsid w:val="0034151F"/>
    <w:rsid w:val="00341DBC"/>
    <w:rsid w:val="0034265E"/>
    <w:rsid w:val="00344DFE"/>
    <w:rsid w:val="0034602B"/>
    <w:rsid w:val="003515DD"/>
    <w:rsid w:val="0035180C"/>
    <w:rsid w:val="00353E67"/>
    <w:rsid w:val="00353F29"/>
    <w:rsid w:val="003550A0"/>
    <w:rsid w:val="003553E2"/>
    <w:rsid w:val="00363531"/>
    <w:rsid w:val="00364D36"/>
    <w:rsid w:val="00366DF3"/>
    <w:rsid w:val="00367773"/>
    <w:rsid w:val="00367BFF"/>
    <w:rsid w:val="0037042F"/>
    <w:rsid w:val="00370782"/>
    <w:rsid w:val="00371565"/>
    <w:rsid w:val="003724CC"/>
    <w:rsid w:val="00374EFA"/>
    <w:rsid w:val="0038051D"/>
    <w:rsid w:val="00381A10"/>
    <w:rsid w:val="00381EF8"/>
    <w:rsid w:val="00383B78"/>
    <w:rsid w:val="00385392"/>
    <w:rsid w:val="00386236"/>
    <w:rsid w:val="00387362"/>
    <w:rsid w:val="003874A3"/>
    <w:rsid w:val="00387AA0"/>
    <w:rsid w:val="00390FAD"/>
    <w:rsid w:val="00392B57"/>
    <w:rsid w:val="00394E16"/>
    <w:rsid w:val="003961D6"/>
    <w:rsid w:val="00396767"/>
    <w:rsid w:val="00396BCE"/>
    <w:rsid w:val="00396CEB"/>
    <w:rsid w:val="00396DCA"/>
    <w:rsid w:val="00397C9C"/>
    <w:rsid w:val="003A0BED"/>
    <w:rsid w:val="003A54DF"/>
    <w:rsid w:val="003A5CB3"/>
    <w:rsid w:val="003A6460"/>
    <w:rsid w:val="003A65E6"/>
    <w:rsid w:val="003A7986"/>
    <w:rsid w:val="003A7FAD"/>
    <w:rsid w:val="003B1327"/>
    <w:rsid w:val="003B2994"/>
    <w:rsid w:val="003B52F9"/>
    <w:rsid w:val="003B7054"/>
    <w:rsid w:val="003B788C"/>
    <w:rsid w:val="003B7A98"/>
    <w:rsid w:val="003C20FA"/>
    <w:rsid w:val="003C297A"/>
    <w:rsid w:val="003C3AF3"/>
    <w:rsid w:val="003C41F3"/>
    <w:rsid w:val="003C4DE7"/>
    <w:rsid w:val="003C5467"/>
    <w:rsid w:val="003C7015"/>
    <w:rsid w:val="003D108B"/>
    <w:rsid w:val="003D2374"/>
    <w:rsid w:val="003D2A49"/>
    <w:rsid w:val="003D38B6"/>
    <w:rsid w:val="003D45CB"/>
    <w:rsid w:val="003D7BCA"/>
    <w:rsid w:val="003E038F"/>
    <w:rsid w:val="003E1F4A"/>
    <w:rsid w:val="003E3A7B"/>
    <w:rsid w:val="003E5292"/>
    <w:rsid w:val="003E61C2"/>
    <w:rsid w:val="003E671C"/>
    <w:rsid w:val="003E74EB"/>
    <w:rsid w:val="003F10E0"/>
    <w:rsid w:val="003F1329"/>
    <w:rsid w:val="003F18DA"/>
    <w:rsid w:val="003F1F27"/>
    <w:rsid w:val="003F2B80"/>
    <w:rsid w:val="003F416B"/>
    <w:rsid w:val="00400FDD"/>
    <w:rsid w:val="0040219D"/>
    <w:rsid w:val="00404598"/>
    <w:rsid w:val="00404A53"/>
    <w:rsid w:val="00404DA3"/>
    <w:rsid w:val="00407DB0"/>
    <w:rsid w:val="00410B49"/>
    <w:rsid w:val="004113D6"/>
    <w:rsid w:val="004123F8"/>
    <w:rsid w:val="00412C66"/>
    <w:rsid w:val="00412D39"/>
    <w:rsid w:val="00413E6E"/>
    <w:rsid w:val="004155AB"/>
    <w:rsid w:val="00416B16"/>
    <w:rsid w:val="004173C6"/>
    <w:rsid w:val="004179EC"/>
    <w:rsid w:val="00420692"/>
    <w:rsid w:val="004209ED"/>
    <w:rsid w:val="004217EB"/>
    <w:rsid w:val="004231E7"/>
    <w:rsid w:val="00423AED"/>
    <w:rsid w:val="004245F1"/>
    <w:rsid w:val="00424A91"/>
    <w:rsid w:val="00425666"/>
    <w:rsid w:val="00425E44"/>
    <w:rsid w:val="00426B90"/>
    <w:rsid w:val="00427F0A"/>
    <w:rsid w:val="00431815"/>
    <w:rsid w:val="004368AA"/>
    <w:rsid w:val="0044166D"/>
    <w:rsid w:val="00444466"/>
    <w:rsid w:val="00444EEF"/>
    <w:rsid w:val="0044670A"/>
    <w:rsid w:val="00451E83"/>
    <w:rsid w:val="004525BE"/>
    <w:rsid w:val="00453262"/>
    <w:rsid w:val="00454495"/>
    <w:rsid w:val="00454BD5"/>
    <w:rsid w:val="00454CEA"/>
    <w:rsid w:val="00455714"/>
    <w:rsid w:val="00455F0F"/>
    <w:rsid w:val="00456414"/>
    <w:rsid w:val="00456A19"/>
    <w:rsid w:val="0045708B"/>
    <w:rsid w:val="00457A9F"/>
    <w:rsid w:val="00457D78"/>
    <w:rsid w:val="004606D5"/>
    <w:rsid w:val="00461E2F"/>
    <w:rsid w:val="00461EA8"/>
    <w:rsid w:val="00465D2F"/>
    <w:rsid w:val="00470C0B"/>
    <w:rsid w:val="0047140B"/>
    <w:rsid w:val="00472065"/>
    <w:rsid w:val="00473A73"/>
    <w:rsid w:val="004746F8"/>
    <w:rsid w:val="00474F6E"/>
    <w:rsid w:val="00476502"/>
    <w:rsid w:val="004768FC"/>
    <w:rsid w:val="00476CF2"/>
    <w:rsid w:val="00480501"/>
    <w:rsid w:val="004806BB"/>
    <w:rsid w:val="00481532"/>
    <w:rsid w:val="00481C86"/>
    <w:rsid w:val="004839CD"/>
    <w:rsid w:val="00484751"/>
    <w:rsid w:val="00487AA2"/>
    <w:rsid w:val="00487ACA"/>
    <w:rsid w:val="00487C01"/>
    <w:rsid w:val="004902D1"/>
    <w:rsid w:val="004910AC"/>
    <w:rsid w:val="004936E3"/>
    <w:rsid w:val="00493792"/>
    <w:rsid w:val="004944E9"/>
    <w:rsid w:val="0049499E"/>
    <w:rsid w:val="00495BD2"/>
    <w:rsid w:val="004A0A60"/>
    <w:rsid w:val="004A13B8"/>
    <w:rsid w:val="004A28C7"/>
    <w:rsid w:val="004A4C7D"/>
    <w:rsid w:val="004A5944"/>
    <w:rsid w:val="004A5D80"/>
    <w:rsid w:val="004A6437"/>
    <w:rsid w:val="004A6DD2"/>
    <w:rsid w:val="004A755C"/>
    <w:rsid w:val="004A7894"/>
    <w:rsid w:val="004A7AE2"/>
    <w:rsid w:val="004A7FE2"/>
    <w:rsid w:val="004B1087"/>
    <w:rsid w:val="004B275A"/>
    <w:rsid w:val="004B3524"/>
    <w:rsid w:val="004B5B2C"/>
    <w:rsid w:val="004B60EF"/>
    <w:rsid w:val="004B64C7"/>
    <w:rsid w:val="004B6559"/>
    <w:rsid w:val="004B676C"/>
    <w:rsid w:val="004C0025"/>
    <w:rsid w:val="004C0F2E"/>
    <w:rsid w:val="004C152D"/>
    <w:rsid w:val="004C1A66"/>
    <w:rsid w:val="004C30E7"/>
    <w:rsid w:val="004C3A2A"/>
    <w:rsid w:val="004C3C36"/>
    <w:rsid w:val="004C5F65"/>
    <w:rsid w:val="004D0800"/>
    <w:rsid w:val="004D0F26"/>
    <w:rsid w:val="004D3640"/>
    <w:rsid w:val="004D6075"/>
    <w:rsid w:val="004D645E"/>
    <w:rsid w:val="004E0964"/>
    <w:rsid w:val="004E0BC2"/>
    <w:rsid w:val="004E1314"/>
    <w:rsid w:val="004E3A27"/>
    <w:rsid w:val="004E3B82"/>
    <w:rsid w:val="004E4B46"/>
    <w:rsid w:val="004E6841"/>
    <w:rsid w:val="004F179F"/>
    <w:rsid w:val="004F1C08"/>
    <w:rsid w:val="004F21E0"/>
    <w:rsid w:val="004F2D95"/>
    <w:rsid w:val="004F2E88"/>
    <w:rsid w:val="004F37A7"/>
    <w:rsid w:val="004F454C"/>
    <w:rsid w:val="004F5EA1"/>
    <w:rsid w:val="00500E61"/>
    <w:rsid w:val="0050150B"/>
    <w:rsid w:val="005015A4"/>
    <w:rsid w:val="00502931"/>
    <w:rsid w:val="005033E3"/>
    <w:rsid w:val="005041AF"/>
    <w:rsid w:val="005045FF"/>
    <w:rsid w:val="00505281"/>
    <w:rsid w:val="00505B1B"/>
    <w:rsid w:val="005065B5"/>
    <w:rsid w:val="00507C0E"/>
    <w:rsid w:val="00511C7B"/>
    <w:rsid w:val="0051471D"/>
    <w:rsid w:val="005149EF"/>
    <w:rsid w:val="00515AA6"/>
    <w:rsid w:val="00516149"/>
    <w:rsid w:val="00516E16"/>
    <w:rsid w:val="00517F93"/>
    <w:rsid w:val="005201E9"/>
    <w:rsid w:val="00520E9E"/>
    <w:rsid w:val="005210C3"/>
    <w:rsid w:val="00521F30"/>
    <w:rsid w:val="00522997"/>
    <w:rsid w:val="00522B29"/>
    <w:rsid w:val="005244D6"/>
    <w:rsid w:val="005322A5"/>
    <w:rsid w:val="00540A8B"/>
    <w:rsid w:val="005419FE"/>
    <w:rsid w:val="005425B8"/>
    <w:rsid w:val="00542D52"/>
    <w:rsid w:val="005458B8"/>
    <w:rsid w:val="005553C5"/>
    <w:rsid w:val="00555E31"/>
    <w:rsid w:val="00557D34"/>
    <w:rsid w:val="0056018C"/>
    <w:rsid w:val="00562077"/>
    <w:rsid w:val="00562B5D"/>
    <w:rsid w:val="0056341D"/>
    <w:rsid w:val="00565113"/>
    <w:rsid w:val="00565A52"/>
    <w:rsid w:val="005674CA"/>
    <w:rsid w:val="005674E8"/>
    <w:rsid w:val="005709B3"/>
    <w:rsid w:val="00571FCA"/>
    <w:rsid w:val="00572474"/>
    <w:rsid w:val="005727ED"/>
    <w:rsid w:val="00573010"/>
    <w:rsid w:val="00573ED9"/>
    <w:rsid w:val="00577DB4"/>
    <w:rsid w:val="00577EC1"/>
    <w:rsid w:val="00580409"/>
    <w:rsid w:val="00581081"/>
    <w:rsid w:val="0058152F"/>
    <w:rsid w:val="005837B0"/>
    <w:rsid w:val="005846AE"/>
    <w:rsid w:val="00584A4F"/>
    <w:rsid w:val="00585939"/>
    <w:rsid w:val="00586ACC"/>
    <w:rsid w:val="00587BA5"/>
    <w:rsid w:val="00591802"/>
    <w:rsid w:val="0059277A"/>
    <w:rsid w:val="00592C8D"/>
    <w:rsid w:val="00593228"/>
    <w:rsid w:val="00593E30"/>
    <w:rsid w:val="00595157"/>
    <w:rsid w:val="00595215"/>
    <w:rsid w:val="005965E8"/>
    <w:rsid w:val="005969E9"/>
    <w:rsid w:val="005A04C9"/>
    <w:rsid w:val="005A128F"/>
    <w:rsid w:val="005A218D"/>
    <w:rsid w:val="005A3354"/>
    <w:rsid w:val="005A3E73"/>
    <w:rsid w:val="005A4669"/>
    <w:rsid w:val="005A6019"/>
    <w:rsid w:val="005A6EF3"/>
    <w:rsid w:val="005A736C"/>
    <w:rsid w:val="005A7632"/>
    <w:rsid w:val="005B13F9"/>
    <w:rsid w:val="005B2303"/>
    <w:rsid w:val="005B36A4"/>
    <w:rsid w:val="005B3E38"/>
    <w:rsid w:val="005B4264"/>
    <w:rsid w:val="005B5DDB"/>
    <w:rsid w:val="005B6B03"/>
    <w:rsid w:val="005B7F7E"/>
    <w:rsid w:val="005C07C9"/>
    <w:rsid w:val="005C1333"/>
    <w:rsid w:val="005C3765"/>
    <w:rsid w:val="005C48A3"/>
    <w:rsid w:val="005C4A56"/>
    <w:rsid w:val="005C5A87"/>
    <w:rsid w:val="005C5A9B"/>
    <w:rsid w:val="005C6654"/>
    <w:rsid w:val="005D09BE"/>
    <w:rsid w:val="005D0CD8"/>
    <w:rsid w:val="005D1DC3"/>
    <w:rsid w:val="005D276D"/>
    <w:rsid w:val="005D3041"/>
    <w:rsid w:val="005D3B14"/>
    <w:rsid w:val="005D47E1"/>
    <w:rsid w:val="005D4AAC"/>
    <w:rsid w:val="005D5E12"/>
    <w:rsid w:val="005D6237"/>
    <w:rsid w:val="005D6E10"/>
    <w:rsid w:val="005E06D6"/>
    <w:rsid w:val="005E1453"/>
    <w:rsid w:val="005E1698"/>
    <w:rsid w:val="005E1AFF"/>
    <w:rsid w:val="005E268E"/>
    <w:rsid w:val="005E3899"/>
    <w:rsid w:val="005E5507"/>
    <w:rsid w:val="005E7745"/>
    <w:rsid w:val="005E7873"/>
    <w:rsid w:val="005F340C"/>
    <w:rsid w:val="005F6097"/>
    <w:rsid w:val="005F6106"/>
    <w:rsid w:val="005F65DC"/>
    <w:rsid w:val="005F7146"/>
    <w:rsid w:val="005F7A59"/>
    <w:rsid w:val="005F7E51"/>
    <w:rsid w:val="0060009A"/>
    <w:rsid w:val="006004C6"/>
    <w:rsid w:val="00600591"/>
    <w:rsid w:val="00600C40"/>
    <w:rsid w:val="00601A95"/>
    <w:rsid w:val="00602209"/>
    <w:rsid w:val="006023A5"/>
    <w:rsid w:val="006027BB"/>
    <w:rsid w:val="00603178"/>
    <w:rsid w:val="006035A2"/>
    <w:rsid w:val="00603D15"/>
    <w:rsid w:val="00606ACE"/>
    <w:rsid w:val="00607BE5"/>
    <w:rsid w:val="00610626"/>
    <w:rsid w:val="0061236D"/>
    <w:rsid w:val="0061256A"/>
    <w:rsid w:val="00615C3C"/>
    <w:rsid w:val="006237AC"/>
    <w:rsid w:val="0062613E"/>
    <w:rsid w:val="0062678C"/>
    <w:rsid w:val="006312E7"/>
    <w:rsid w:val="0063159C"/>
    <w:rsid w:val="006332CB"/>
    <w:rsid w:val="00634601"/>
    <w:rsid w:val="00636B84"/>
    <w:rsid w:val="00641F88"/>
    <w:rsid w:val="00643FCE"/>
    <w:rsid w:val="006459C0"/>
    <w:rsid w:val="00645C8C"/>
    <w:rsid w:val="00645FF3"/>
    <w:rsid w:val="00646ED4"/>
    <w:rsid w:val="006519EE"/>
    <w:rsid w:val="00651B28"/>
    <w:rsid w:val="00651BCA"/>
    <w:rsid w:val="00652B75"/>
    <w:rsid w:val="00653D78"/>
    <w:rsid w:val="0065689B"/>
    <w:rsid w:val="00660227"/>
    <w:rsid w:val="006616E1"/>
    <w:rsid w:val="00662ADB"/>
    <w:rsid w:val="00662E28"/>
    <w:rsid w:val="006636BD"/>
    <w:rsid w:val="00663F94"/>
    <w:rsid w:val="00664038"/>
    <w:rsid w:val="006649C1"/>
    <w:rsid w:val="00664E8F"/>
    <w:rsid w:val="00666858"/>
    <w:rsid w:val="00667576"/>
    <w:rsid w:val="00667BE3"/>
    <w:rsid w:val="00667D0F"/>
    <w:rsid w:val="00667D1F"/>
    <w:rsid w:val="00667D50"/>
    <w:rsid w:val="00670F6D"/>
    <w:rsid w:val="00671126"/>
    <w:rsid w:val="006727BB"/>
    <w:rsid w:val="00672D9E"/>
    <w:rsid w:val="00676A06"/>
    <w:rsid w:val="00677022"/>
    <w:rsid w:val="00680763"/>
    <w:rsid w:val="00680B2E"/>
    <w:rsid w:val="00682509"/>
    <w:rsid w:val="00683017"/>
    <w:rsid w:val="006837A2"/>
    <w:rsid w:val="006840A5"/>
    <w:rsid w:val="006840D9"/>
    <w:rsid w:val="00684CEE"/>
    <w:rsid w:val="00684E5F"/>
    <w:rsid w:val="006856C2"/>
    <w:rsid w:val="00690AEC"/>
    <w:rsid w:val="00691E3E"/>
    <w:rsid w:val="0069259B"/>
    <w:rsid w:val="00694264"/>
    <w:rsid w:val="00694A05"/>
    <w:rsid w:val="00694FA4"/>
    <w:rsid w:val="00695066"/>
    <w:rsid w:val="006958B9"/>
    <w:rsid w:val="0069636E"/>
    <w:rsid w:val="0069747B"/>
    <w:rsid w:val="00697497"/>
    <w:rsid w:val="006A0105"/>
    <w:rsid w:val="006A1309"/>
    <w:rsid w:val="006A23C0"/>
    <w:rsid w:val="006A2B56"/>
    <w:rsid w:val="006A2DB1"/>
    <w:rsid w:val="006A50B5"/>
    <w:rsid w:val="006A58DF"/>
    <w:rsid w:val="006A59C7"/>
    <w:rsid w:val="006A6285"/>
    <w:rsid w:val="006A6DDB"/>
    <w:rsid w:val="006B013A"/>
    <w:rsid w:val="006B080E"/>
    <w:rsid w:val="006B145A"/>
    <w:rsid w:val="006B3DCD"/>
    <w:rsid w:val="006B4D46"/>
    <w:rsid w:val="006B72E5"/>
    <w:rsid w:val="006C026A"/>
    <w:rsid w:val="006C1C22"/>
    <w:rsid w:val="006C29F9"/>
    <w:rsid w:val="006C466B"/>
    <w:rsid w:val="006C4BFA"/>
    <w:rsid w:val="006C4F1B"/>
    <w:rsid w:val="006C5664"/>
    <w:rsid w:val="006C56D2"/>
    <w:rsid w:val="006C5F1E"/>
    <w:rsid w:val="006C64B6"/>
    <w:rsid w:val="006D04C5"/>
    <w:rsid w:val="006D06D7"/>
    <w:rsid w:val="006D1B87"/>
    <w:rsid w:val="006D1F07"/>
    <w:rsid w:val="006D29E2"/>
    <w:rsid w:val="006D2BEE"/>
    <w:rsid w:val="006D4433"/>
    <w:rsid w:val="006D4E12"/>
    <w:rsid w:val="006D6FB7"/>
    <w:rsid w:val="006D7999"/>
    <w:rsid w:val="006E0794"/>
    <w:rsid w:val="006E0B69"/>
    <w:rsid w:val="006E13AE"/>
    <w:rsid w:val="006E1F06"/>
    <w:rsid w:val="006E2831"/>
    <w:rsid w:val="006E3BF3"/>
    <w:rsid w:val="006E4469"/>
    <w:rsid w:val="006E460E"/>
    <w:rsid w:val="006E64A4"/>
    <w:rsid w:val="006E73D4"/>
    <w:rsid w:val="006F0068"/>
    <w:rsid w:val="006F12D1"/>
    <w:rsid w:val="006F1374"/>
    <w:rsid w:val="006F2042"/>
    <w:rsid w:val="006F501C"/>
    <w:rsid w:val="006F5C9C"/>
    <w:rsid w:val="006F7A2B"/>
    <w:rsid w:val="0070005D"/>
    <w:rsid w:val="00700EC3"/>
    <w:rsid w:val="007011E8"/>
    <w:rsid w:val="00701361"/>
    <w:rsid w:val="00703ED8"/>
    <w:rsid w:val="00705762"/>
    <w:rsid w:val="007058FB"/>
    <w:rsid w:val="00705E56"/>
    <w:rsid w:val="00707DC7"/>
    <w:rsid w:val="00710145"/>
    <w:rsid w:val="00711A84"/>
    <w:rsid w:val="00712A99"/>
    <w:rsid w:val="00713FA7"/>
    <w:rsid w:val="00714892"/>
    <w:rsid w:val="00714C77"/>
    <w:rsid w:val="00715D8A"/>
    <w:rsid w:val="007164F0"/>
    <w:rsid w:val="00717254"/>
    <w:rsid w:val="00723D03"/>
    <w:rsid w:val="00724986"/>
    <w:rsid w:val="0072568D"/>
    <w:rsid w:val="00725EC2"/>
    <w:rsid w:val="00726FFF"/>
    <w:rsid w:val="0072784B"/>
    <w:rsid w:val="00730FF2"/>
    <w:rsid w:val="0073148B"/>
    <w:rsid w:val="0073282C"/>
    <w:rsid w:val="007334B0"/>
    <w:rsid w:val="007348F0"/>
    <w:rsid w:val="0073536E"/>
    <w:rsid w:val="00735F83"/>
    <w:rsid w:val="0074113E"/>
    <w:rsid w:val="007413B4"/>
    <w:rsid w:val="00742F26"/>
    <w:rsid w:val="007448C2"/>
    <w:rsid w:val="00745BCB"/>
    <w:rsid w:val="007462A8"/>
    <w:rsid w:val="00747336"/>
    <w:rsid w:val="00747A60"/>
    <w:rsid w:val="007517CC"/>
    <w:rsid w:val="007528C1"/>
    <w:rsid w:val="00753EF4"/>
    <w:rsid w:val="00754ED8"/>
    <w:rsid w:val="00755451"/>
    <w:rsid w:val="0076057C"/>
    <w:rsid w:val="007606B1"/>
    <w:rsid w:val="00761778"/>
    <w:rsid w:val="0076292B"/>
    <w:rsid w:val="00763EB0"/>
    <w:rsid w:val="00763F53"/>
    <w:rsid w:val="00764EA5"/>
    <w:rsid w:val="00765BE4"/>
    <w:rsid w:val="00766A33"/>
    <w:rsid w:val="00767535"/>
    <w:rsid w:val="007675FA"/>
    <w:rsid w:val="00770AE5"/>
    <w:rsid w:val="00771E1D"/>
    <w:rsid w:val="00772FFE"/>
    <w:rsid w:val="00773B19"/>
    <w:rsid w:val="00774051"/>
    <w:rsid w:val="00774C93"/>
    <w:rsid w:val="00774D8B"/>
    <w:rsid w:val="00777CC4"/>
    <w:rsid w:val="0078109F"/>
    <w:rsid w:val="00782FBE"/>
    <w:rsid w:val="00783137"/>
    <w:rsid w:val="007853C7"/>
    <w:rsid w:val="00785402"/>
    <w:rsid w:val="007869D0"/>
    <w:rsid w:val="00790A75"/>
    <w:rsid w:val="00790DEA"/>
    <w:rsid w:val="0079109B"/>
    <w:rsid w:val="00791610"/>
    <w:rsid w:val="0079208C"/>
    <w:rsid w:val="00792C8F"/>
    <w:rsid w:val="007931D8"/>
    <w:rsid w:val="00795755"/>
    <w:rsid w:val="007969B6"/>
    <w:rsid w:val="00796C6E"/>
    <w:rsid w:val="00796EF9"/>
    <w:rsid w:val="007A0718"/>
    <w:rsid w:val="007A390D"/>
    <w:rsid w:val="007A4052"/>
    <w:rsid w:val="007A448D"/>
    <w:rsid w:val="007A739B"/>
    <w:rsid w:val="007B11CB"/>
    <w:rsid w:val="007B16DF"/>
    <w:rsid w:val="007B3033"/>
    <w:rsid w:val="007B4BDC"/>
    <w:rsid w:val="007B5F83"/>
    <w:rsid w:val="007B7F2C"/>
    <w:rsid w:val="007C0323"/>
    <w:rsid w:val="007C3E51"/>
    <w:rsid w:val="007C535C"/>
    <w:rsid w:val="007C634E"/>
    <w:rsid w:val="007C777C"/>
    <w:rsid w:val="007D0547"/>
    <w:rsid w:val="007D0F22"/>
    <w:rsid w:val="007D6B4A"/>
    <w:rsid w:val="007D6BE1"/>
    <w:rsid w:val="007E0D06"/>
    <w:rsid w:val="007E21F1"/>
    <w:rsid w:val="007E3507"/>
    <w:rsid w:val="007E3C39"/>
    <w:rsid w:val="007E6CA5"/>
    <w:rsid w:val="007F07C3"/>
    <w:rsid w:val="007F2001"/>
    <w:rsid w:val="007F2B6F"/>
    <w:rsid w:val="007F7858"/>
    <w:rsid w:val="007F7B91"/>
    <w:rsid w:val="007F7C51"/>
    <w:rsid w:val="00800A8F"/>
    <w:rsid w:val="00801E2A"/>
    <w:rsid w:val="00803631"/>
    <w:rsid w:val="00804393"/>
    <w:rsid w:val="0080469A"/>
    <w:rsid w:val="00805CDE"/>
    <w:rsid w:val="008076F6"/>
    <w:rsid w:val="00810125"/>
    <w:rsid w:val="00810691"/>
    <w:rsid w:val="00811599"/>
    <w:rsid w:val="008123D9"/>
    <w:rsid w:val="00812CDE"/>
    <w:rsid w:val="00812DD3"/>
    <w:rsid w:val="00813221"/>
    <w:rsid w:val="008143C1"/>
    <w:rsid w:val="008146DF"/>
    <w:rsid w:val="0081588D"/>
    <w:rsid w:val="00816704"/>
    <w:rsid w:val="0081759C"/>
    <w:rsid w:val="00817926"/>
    <w:rsid w:val="00817A61"/>
    <w:rsid w:val="008213B6"/>
    <w:rsid w:val="008219EF"/>
    <w:rsid w:val="008237CB"/>
    <w:rsid w:val="0082476B"/>
    <w:rsid w:val="00827B74"/>
    <w:rsid w:val="00831141"/>
    <w:rsid w:val="00832B7D"/>
    <w:rsid w:val="0083622C"/>
    <w:rsid w:val="00836541"/>
    <w:rsid w:val="00837E13"/>
    <w:rsid w:val="00840CCC"/>
    <w:rsid w:val="00840DAF"/>
    <w:rsid w:val="00841FD0"/>
    <w:rsid w:val="008424A2"/>
    <w:rsid w:val="00844133"/>
    <w:rsid w:val="008441F6"/>
    <w:rsid w:val="00846472"/>
    <w:rsid w:val="00846F01"/>
    <w:rsid w:val="00847471"/>
    <w:rsid w:val="00847BB8"/>
    <w:rsid w:val="008516FD"/>
    <w:rsid w:val="0085234C"/>
    <w:rsid w:val="00852A39"/>
    <w:rsid w:val="00852B18"/>
    <w:rsid w:val="00852C93"/>
    <w:rsid w:val="008549F1"/>
    <w:rsid w:val="00854AAE"/>
    <w:rsid w:val="00855728"/>
    <w:rsid w:val="00857625"/>
    <w:rsid w:val="00857B1E"/>
    <w:rsid w:val="00860CC6"/>
    <w:rsid w:val="00861B1E"/>
    <w:rsid w:val="00864F9A"/>
    <w:rsid w:val="00865C10"/>
    <w:rsid w:val="008661A9"/>
    <w:rsid w:val="00866751"/>
    <w:rsid w:val="00870C9E"/>
    <w:rsid w:val="00870E6D"/>
    <w:rsid w:val="00872588"/>
    <w:rsid w:val="00875B95"/>
    <w:rsid w:val="00876350"/>
    <w:rsid w:val="008812E1"/>
    <w:rsid w:val="00881D3F"/>
    <w:rsid w:val="00883094"/>
    <w:rsid w:val="008850B2"/>
    <w:rsid w:val="0088571F"/>
    <w:rsid w:val="00885A1D"/>
    <w:rsid w:val="00885E8E"/>
    <w:rsid w:val="008864E5"/>
    <w:rsid w:val="00887BF4"/>
    <w:rsid w:val="00892240"/>
    <w:rsid w:val="00892969"/>
    <w:rsid w:val="00893FD6"/>
    <w:rsid w:val="0089516C"/>
    <w:rsid w:val="00896B4E"/>
    <w:rsid w:val="008974F5"/>
    <w:rsid w:val="008A1238"/>
    <w:rsid w:val="008A373B"/>
    <w:rsid w:val="008A6C60"/>
    <w:rsid w:val="008A6FDC"/>
    <w:rsid w:val="008B002D"/>
    <w:rsid w:val="008B1A7B"/>
    <w:rsid w:val="008B2A61"/>
    <w:rsid w:val="008B3601"/>
    <w:rsid w:val="008B3CBA"/>
    <w:rsid w:val="008C140B"/>
    <w:rsid w:val="008C176B"/>
    <w:rsid w:val="008C1EE5"/>
    <w:rsid w:val="008C2961"/>
    <w:rsid w:val="008C55DC"/>
    <w:rsid w:val="008C5DCE"/>
    <w:rsid w:val="008C63CC"/>
    <w:rsid w:val="008D065F"/>
    <w:rsid w:val="008D1D93"/>
    <w:rsid w:val="008D2887"/>
    <w:rsid w:val="008D654D"/>
    <w:rsid w:val="008E0322"/>
    <w:rsid w:val="008E0AEF"/>
    <w:rsid w:val="008E0D8F"/>
    <w:rsid w:val="008E3DE5"/>
    <w:rsid w:val="008E678F"/>
    <w:rsid w:val="008F1CC3"/>
    <w:rsid w:val="008F2402"/>
    <w:rsid w:val="008F517F"/>
    <w:rsid w:val="008F662F"/>
    <w:rsid w:val="008F6D04"/>
    <w:rsid w:val="00902EF7"/>
    <w:rsid w:val="0090468F"/>
    <w:rsid w:val="00910852"/>
    <w:rsid w:val="0091117E"/>
    <w:rsid w:val="00916087"/>
    <w:rsid w:val="0091783D"/>
    <w:rsid w:val="0091786F"/>
    <w:rsid w:val="00917937"/>
    <w:rsid w:val="009215C8"/>
    <w:rsid w:val="00921A69"/>
    <w:rsid w:val="00925F39"/>
    <w:rsid w:val="0092604F"/>
    <w:rsid w:val="00926105"/>
    <w:rsid w:val="0093119D"/>
    <w:rsid w:val="00931A63"/>
    <w:rsid w:val="00933920"/>
    <w:rsid w:val="009352A2"/>
    <w:rsid w:val="00935625"/>
    <w:rsid w:val="00935DC1"/>
    <w:rsid w:val="00935F1A"/>
    <w:rsid w:val="00936911"/>
    <w:rsid w:val="009407D2"/>
    <w:rsid w:val="009418CB"/>
    <w:rsid w:val="009446A6"/>
    <w:rsid w:val="00946B82"/>
    <w:rsid w:val="009504DC"/>
    <w:rsid w:val="009508F8"/>
    <w:rsid w:val="0095303D"/>
    <w:rsid w:val="00956611"/>
    <w:rsid w:val="009611F8"/>
    <w:rsid w:val="009619FF"/>
    <w:rsid w:val="009624BC"/>
    <w:rsid w:val="0096283F"/>
    <w:rsid w:val="009632C0"/>
    <w:rsid w:val="00965CA2"/>
    <w:rsid w:val="009666F6"/>
    <w:rsid w:val="00967408"/>
    <w:rsid w:val="0097047B"/>
    <w:rsid w:val="0097053D"/>
    <w:rsid w:val="00971A77"/>
    <w:rsid w:val="009721D8"/>
    <w:rsid w:val="00977575"/>
    <w:rsid w:val="00977C9E"/>
    <w:rsid w:val="00980035"/>
    <w:rsid w:val="00981407"/>
    <w:rsid w:val="00981F42"/>
    <w:rsid w:val="00982916"/>
    <w:rsid w:val="0098383D"/>
    <w:rsid w:val="00983DA0"/>
    <w:rsid w:val="009850BF"/>
    <w:rsid w:val="00992786"/>
    <w:rsid w:val="00992ED9"/>
    <w:rsid w:val="009939C6"/>
    <w:rsid w:val="009951C5"/>
    <w:rsid w:val="00995CB6"/>
    <w:rsid w:val="00996093"/>
    <w:rsid w:val="009A0F63"/>
    <w:rsid w:val="009A215B"/>
    <w:rsid w:val="009A2D1E"/>
    <w:rsid w:val="009A2F5C"/>
    <w:rsid w:val="009A2FC2"/>
    <w:rsid w:val="009A2FED"/>
    <w:rsid w:val="009A374C"/>
    <w:rsid w:val="009A3A37"/>
    <w:rsid w:val="009A415C"/>
    <w:rsid w:val="009A58C6"/>
    <w:rsid w:val="009A720B"/>
    <w:rsid w:val="009B0186"/>
    <w:rsid w:val="009B06F8"/>
    <w:rsid w:val="009B1661"/>
    <w:rsid w:val="009B2B53"/>
    <w:rsid w:val="009B33F2"/>
    <w:rsid w:val="009B3BBC"/>
    <w:rsid w:val="009B47E2"/>
    <w:rsid w:val="009B5863"/>
    <w:rsid w:val="009B757D"/>
    <w:rsid w:val="009B76E4"/>
    <w:rsid w:val="009C0A35"/>
    <w:rsid w:val="009C3040"/>
    <w:rsid w:val="009C3BA1"/>
    <w:rsid w:val="009C3F3C"/>
    <w:rsid w:val="009C4A02"/>
    <w:rsid w:val="009C64AA"/>
    <w:rsid w:val="009C68B8"/>
    <w:rsid w:val="009C6F80"/>
    <w:rsid w:val="009C7482"/>
    <w:rsid w:val="009D1DD4"/>
    <w:rsid w:val="009D2A09"/>
    <w:rsid w:val="009D4AA2"/>
    <w:rsid w:val="009D5827"/>
    <w:rsid w:val="009E0E23"/>
    <w:rsid w:val="009E1E1E"/>
    <w:rsid w:val="009E213B"/>
    <w:rsid w:val="009E286B"/>
    <w:rsid w:val="009E51D9"/>
    <w:rsid w:val="009E5764"/>
    <w:rsid w:val="009E5C31"/>
    <w:rsid w:val="009E66FD"/>
    <w:rsid w:val="009E6CD3"/>
    <w:rsid w:val="009F1026"/>
    <w:rsid w:val="009F3A52"/>
    <w:rsid w:val="009F4697"/>
    <w:rsid w:val="009F532C"/>
    <w:rsid w:val="009F5DB1"/>
    <w:rsid w:val="009F64D0"/>
    <w:rsid w:val="009F7602"/>
    <w:rsid w:val="00A0227B"/>
    <w:rsid w:val="00A02CF2"/>
    <w:rsid w:val="00A036A4"/>
    <w:rsid w:val="00A03755"/>
    <w:rsid w:val="00A0399D"/>
    <w:rsid w:val="00A03FFD"/>
    <w:rsid w:val="00A0488E"/>
    <w:rsid w:val="00A06928"/>
    <w:rsid w:val="00A07981"/>
    <w:rsid w:val="00A07BDC"/>
    <w:rsid w:val="00A10301"/>
    <w:rsid w:val="00A141ED"/>
    <w:rsid w:val="00A152E5"/>
    <w:rsid w:val="00A15998"/>
    <w:rsid w:val="00A15FA3"/>
    <w:rsid w:val="00A176EA"/>
    <w:rsid w:val="00A17882"/>
    <w:rsid w:val="00A24B9B"/>
    <w:rsid w:val="00A25D6E"/>
    <w:rsid w:val="00A25E33"/>
    <w:rsid w:val="00A25EE5"/>
    <w:rsid w:val="00A3109B"/>
    <w:rsid w:val="00A315BE"/>
    <w:rsid w:val="00A31B4F"/>
    <w:rsid w:val="00A32083"/>
    <w:rsid w:val="00A325E3"/>
    <w:rsid w:val="00A336F7"/>
    <w:rsid w:val="00A3683A"/>
    <w:rsid w:val="00A37F06"/>
    <w:rsid w:val="00A4162F"/>
    <w:rsid w:val="00A42129"/>
    <w:rsid w:val="00A427B3"/>
    <w:rsid w:val="00A42E87"/>
    <w:rsid w:val="00A43163"/>
    <w:rsid w:val="00A43778"/>
    <w:rsid w:val="00A45401"/>
    <w:rsid w:val="00A45907"/>
    <w:rsid w:val="00A463AF"/>
    <w:rsid w:val="00A516CC"/>
    <w:rsid w:val="00A51BEC"/>
    <w:rsid w:val="00A54E50"/>
    <w:rsid w:val="00A54F30"/>
    <w:rsid w:val="00A552C5"/>
    <w:rsid w:val="00A554B0"/>
    <w:rsid w:val="00A56362"/>
    <w:rsid w:val="00A567F4"/>
    <w:rsid w:val="00A57142"/>
    <w:rsid w:val="00A571AA"/>
    <w:rsid w:val="00A57B76"/>
    <w:rsid w:val="00A600F7"/>
    <w:rsid w:val="00A624BC"/>
    <w:rsid w:val="00A62834"/>
    <w:rsid w:val="00A63F05"/>
    <w:rsid w:val="00A64C74"/>
    <w:rsid w:val="00A7211C"/>
    <w:rsid w:val="00A74850"/>
    <w:rsid w:val="00A74E70"/>
    <w:rsid w:val="00A81282"/>
    <w:rsid w:val="00A85A31"/>
    <w:rsid w:val="00A85C15"/>
    <w:rsid w:val="00A860C8"/>
    <w:rsid w:val="00A90C96"/>
    <w:rsid w:val="00A90D9F"/>
    <w:rsid w:val="00A90E48"/>
    <w:rsid w:val="00A9123D"/>
    <w:rsid w:val="00A92233"/>
    <w:rsid w:val="00A92AC9"/>
    <w:rsid w:val="00A92D3C"/>
    <w:rsid w:val="00A92DF0"/>
    <w:rsid w:val="00A92F56"/>
    <w:rsid w:val="00A93116"/>
    <w:rsid w:val="00A94D7C"/>
    <w:rsid w:val="00A955EA"/>
    <w:rsid w:val="00A96EC5"/>
    <w:rsid w:val="00A97132"/>
    <w:rsid w:val="00A97472"/>
    <w:rsid w:val="00AA11D8"/>
    <w:rsid w:val="00AA1D10"/>
    <w:rsid w:val="00AA42C4"/>
    <w:rsid w:val="00AA5EAB"/>
    <w:rsid w:val="00AA65E3"/>
    <w:rsid w:val="00AA7D4C"/>
    <w:rsid w:val="00AB369F"/>
    <w:rsid w:val="00AB3BB6"/>
    <w:rsid w:val="00AB65C5"/>
    <w:rsid w:val="00AC05B1"/>
    <w:rsid w:val="00AC081E"/>
    <w:rsid w:val="00AC28E4"/>
    <w:rsid w:val="00AC5BCF"/>
    <w:rsid w:val="00AD0DEB"/>
    <w:rsid w:val="00AD308B"/>
    <w:rsid w:val="00AD49AA"/>
    <w:rsid w:val="00AD4A17"/>
    <w:rsid w:val="00AD4C42"/>
    <w:rsid w:val="00AD5171"/>
    <w:rsid w:val="00AD527E"/>
    <w:rsid w:val="00AD7FE3"/>
    <w:rsid w:val="00AE3260"/>
    <w:rsid w:val="00AE3374"/>
    <w:rsid w:val="00AE4655"/>
    <w:rsid w:val="00AE4AC1"/>
    <w:rsid w:val="00AE5905"/>
    <w:rsid w:val="00AE67FA"/>
    <w:rsid w:val="00AF0986"/>
    <w:rsid w:val="00AF0C66"/>
    <w:rsid w:val="00AF29A3"/>
    <w:rsid w:val="00AF2B4A"/>
    <w:rsid w:val="00AF333C"/>
    <w:rsid w:val="00AF3501"/>
    <w:rsid w:val="00AF42DE"/>
    <w:rsid w:val="00AF4C7D"/>
    <w:rsid w:val="00AF4DAB"/>
    <w:rsid w:val="00AF5949"/>
    <w:rsid w:val="00B00BE7"/>
    <w:rsid w:val="00B01D76"/>
    <w:rsid w:val="00B03A94"/>
    <w:rsid w:val="00B05681"/>
    <w:rsid w:val="00B05841"/>
    <w:rsid w:val="00B05ED3"/>
    <w:rsid w:val="00B06E87"/>
    <w:rsid w:val="00B0763A"/>
    <w:rsid w:val="00B10D14"/>
    <w:rsid w:val="00B115F5"/>
    <w:rsid w:val="00B11838"/>
    <w:rsid w:val="00B128E6"/>
    <w:rsid w:val="00B154B9"/>
    <w:rsid w:val="00B15B6A"/>
    <w:rsid w:val="00B160C8"/>
    <w:rsid w:val="00B17835"/>
    <w:rsid w:val="00B239BC"/>
    <w:rsid w:val="00B2459E"/>
    <w:rsid w:val="00B2480C"/>
    <w:rsid w:val="00B333F1"/>
    <w:rsid w:val="00B36B52"/>
    <w:rsid w:val="00B3710E"/>
    <w:rsid w:val="00B40601"/>
    <w:rsid w:val="00B40AFD"/>
    <w:rsid w:val="00B41DDE"/>
    <w:rsid w:val="00B41F39"/>
    <w:rsid w:val="00B43145"/>
    <w:rsid w:val="00B4323D"/>
    <w:rsid w:val="00B434BE"/>
    <w:rsid w:val="00B44688"/>
    <w:rsid w:val="00B4472E"/>
    <w:rsid w:val="00B46823"/>
    <w:rsid w:val="00B46CB6"/>
    <w:rsid w:val="00B50569"/>
    <w:rsid w:val="00B523E6"/>
    <w:rsid w:val="00B52F17"/>
    <w:rsid w:val="00B54B60"/>
    <w:rsid w:val="00B562BF"/>
    <w:rsid w:val="00B563E2"/>
    <w:rsid w:val="00B564E6"/>
    <w:rsid w:val="00B60B17"/>
    <w:rsid w:val="00B64609"/>
    <w:rsid w:val="00B65298"/>
    <w:rsid w:val="00B653A9"/>
    <w:rsid w:val="00B702D6"/>
    <w:rsid w:val="00B72556"/>
    <w:rsid w:val="00B72EC1"/>
    <w:rsid w:val="00B7487F"/>
    <w:rsid w:val="00B7539C"/>
    <w:rsid w:val="00B758D7"/>
    <w:rsid w:val="00B77503"/>
    <w:rsid w:val="00B82BC1"/>
    <w:rsid w:val="00B848AB"/>
    <w:rsid w:val="00B8531B"/>
    <w:rsid w:val="00B90220"/>
    <w:rsid w:val="00B902F5"/>
    <w:rsid w:val="00B90BC2"/>
    <w:rsid w:val="00B911DE"/>
    <w:rsid w:val="00B91372"/>
    <w:rsid w:val="00B91A60"/>
    <w:rsid w:val="00B97F3D"/>
    <w:rsid w:val="00BA26C2"/>
    <w:rsid w:val="00BA280D"/>
    <w:rsid w:val="00BA29A6"/>
    <w:rsid w:val="00BA362A"/>
    <w:rsid w:val="00BA4F67"/>
    <w:rsid w:val="00BA53FD"/>
    <w:rsid w:val="00BA549C"/>
    <w:rsid w:val="00BB138F"/>
    <w:rsid w:val="00BB4BC9"/>
    <w:rsid w:val="00BB5073"/>
    <w:rsid w:val="00BB6656"/>
    <w:rsid w:val="00BC064D"/>
    <w:rsid w:val="00BC1272"/>
    <w:rsid w:val="00BC19A5"/>
    <w:rsid w:val="00BC1FBC"/>
    <w:rsid w:val="00BC2396"/>
    <w:rsid w:val="00BC3DD0"/>
    <w:rsid w:val="00BC5826"/>
    <w:rsid w:val="00BC68A6"/>
    <w:rsid w:val="00BC6989"/>
    <w:rsid w:val="00BC6BF8"/>
    <w:rsid w:val="00BC6C4E"/>
    <w:rsid w:val="00BC7263"/>
    <w:rsid w:val="00BC7FBA"/>
    <w:rsid w:val="00BD1260"/>
    <w:rsid w:val="00BD3F72"/>
    <w:rsid w:val="00BD73AD"/>
    <w:rsid w:val="00BD770A"/>
    <w:rsid w:val="00BE1B34"/>
    <w:rsid w:val="00BE225E"/>
    <w:rsid w:val="00BE2966"/>
    <w:rsid w:val="00BE3B2D"/>
    <w:rsid w:val="00BE3F3A"/>
    <w:rsid w:val="00BE6076"/>
    <w:rsid w:val="00BE7FC5"/>
    <w:rsid w:val="00BF0690"/>
    <w:rsid w:val="00BF0B02"/>
    <w:rsid w:val="00BF139F"/>
    <w:rsid w:val="00BF5457"/>
    <w:rsid w:val="00BF5666"/>
    <w:rsid w:val="00BF6659"/>
    <w:rsid w:val="00BF689A"/>
    <w:rsid w:val="00BF7B39"/>
    <w:rsid w:val="00C0054B"/>
    <w:rsid w:val="00C043A6"/>
    <w:rsid w:val="00C05CD7"/>
    <w:rsid w:val="00C07A27"/>
    <w:rsid w:val="00C07BD0"/>
    <w:rsid w:val="00C102B7"/>
    <w:rsid w:val="00C105F4"/>
    <w:rsid w:val="00C10DAE"/>
    <w:rsid w:val="00C11695"/>
    <w:rsid w:val="00C136DC"/>
    <w:rsid w:val="00C15967"/>
    <w:rsid w:val="00C15DD0"/>
    <w:rsid w:val="00C17583"/>
    <w:rsid w:val="00C17B0B"/>
    <w:rsid w:val="00C2108F"/>
    <w:rsid w:val="00C21EAB"/>
    <w:rsid w:val="00C23444"/>
    <w:rsid w:val="00C23BB0"/>
    <w:rsid w:val="00C242C0"/>
    <w:rsid w:val="00C253E1"/>
    <w:rsid w:val="00C30F9A"/>
    <w:rsid w:val="00C325B2"/>
    <w:rsid w:val="00C333C1"/>
    <w:rsid w:val="00C371FC"/>
    <w:rsid w:val="00C37E9D"/>
    <w:rsid w:val="00C37F48"/>
    <w:rsid w:val="00C41DB6"/>
    <w:rsid w:val="00C420D9"/>
    <w:rsid w:val="00C421B5"/>
    <w:rsid w:val="00C4425F"/>
    <w:rsid w:val="00C45E17"/>
    <w:rsid w:val="00C4781F"/>
    <w:rsid w:val="00C51557"/>
    <w:rsid w:val="00C516C0"/>
    <w:rsid w:val="00C51B45"/>
    <w:rsid w:val="00C53FC9"/>
    <w:rsid w:val="00C57601"/>
    <w:rsid w:val="00C6038B"/>
    <w:rsid w:val="00C6065D"/>
    <w:rsid w:val="00C616E0"/>
    <w:rsid w:val="00C61DD7"/>
    <w:rsid w:val="00C6224B"/>
    <w:rsid w:val="00C63CEA"/>
    <w:rsid w:val="00C64E3C"/>
    <w:rsid w:val="00C64E5C"/>
    <w:rsid w:val="00C66E32"/>
    <w:rsid w:val="00C74C9F"/>
    <w:rsid w:val="00C76178"/>
    <w:rsid w:val="00C77AF7"/>
    <w:rsid w:val="00C804F3"/>
    <w:rsid w:val="00C812E7"/>
    <w:rsid w:val="00C81EDB"/>
    <w:rsid w:val="00C82E13"/>
    <w:rsid w:val="00C83FE3"/>
    <w:rsid w:val="00C84A6D"/>
    <w:rsid w:val="00C87276"/>
    <w:rsid w:val="00C87675"/>
    <w:rsid w:val="00C9217D"/>
    <w:rsid w:val="00C9385E"/>
    <w:rsid w:val="00C9492F"/>
    <w:rsid w:val="00C94B06"/>
    <w:rsid w:val="00C95601"/>
    <w:rsid w:val="00C95CB8"/>
    <w:rsid w:val="00C97795"/>
    <w:rsid w:val="00CA060E"/>
    <w:rsid w:val="00CA0B31"/>
    <w:rsid w:val="00CA0F0D"/>
    <w:rsid w:val="00CA14CB"/>
    <w:rsid w:val="00CA254B"/>
    <w:rsid w:val="00CA2731"/>
    <w:rsid w:val="00CA329B"/>
    <w:rsid w:val="00CA390F"/>
    <w:rsid w:val="00CA3B24"/>
    <w:rsid w:val="00CA44FE"/>
    <w:rsid w:val="00CA4B6C"/>
    <w:rsid w:val="00CA4C5B"/>
    <w:rsid w:val="00CA72DC"/>
    <w:rsid w:val="00CA754C"/>
    <w:rsid w:val="00CA763B"/>
    <w:rsid w:val="00CA7C34"/>
    <w:rsid w:val="00CA7E7D"/>
    <w:rsid w:val="00CA7EC1"/>
    <w:rsid w:val="00CB0E08"/>
    <w:rsid w:val="00CB17FC"/>
    <w:rsid w:val="00CB2056"/>
    <w:rsid w:val="00CB2F7D"/>
    <w:rsid w:val="00CB2FA3"/>
    <w:rsid w:val="00CB3768"/>
    <w:rsid w:val="00CB37AC"/>
    <w:rsid w:val="00CB38AB"/>
    <w:rsid w:val="00CB3BFA"/>
    <w:rsid w:val="00CB3C82"/>
    <w:rsid w:val="00CB3E88"/>
    <w:rsid w:val="00CB491F"/>
    <w:rsid w:val="00CC186F"/>
    <w:rsid w:val="00CC4BB8"/>
    <w:rsid w:val="00CC592D"/>
    <w:rsid w:val="00CD05D8"/>
    <w:rsid w:val="00CD083F"/>
    <w:rsid w:val="00CD1ECA"/>
    <w:rsid w:val="00CD403F"/>
    <w:rsid w:val="00CD49E0"/>
    <w:rsid w:val="00CD54B7"/>
    <w:rsid w:val="00CE1912"/>
    <w:rsid w:val="00CE5894"/>
    <w:rsid w:val="00CE596D"/>
    <w:rsid w:val="00CE70FF"/>
    <w:rsid w:val="00CE7C67"/>
    <w:rsid w:val="00CF0DF8"/>
    <w:rsid w:val="00CF233E"/>
    <w:rsid w:val="00CF2976"/>
    <w:rsid w:val="00CF4601"/>
    <w:rsid w:val="00CF50C2"/>
    <w:rsid w:val="00CF7506"/>
    <w:rsid w:val="00D0008D"/>
    <w:rsid w:val="00D0016E"/>
    <w:rsid w:val="00D01C1F"/>
    <w:rsid w:val="00D02F07"/>
    <w:rsid w:val="00D037F2"/>
    <w:rsid w:val="00D0392D"/>
    <w:rsid w:val="00D05982"/>
    <w:rsid w:val="00D11FF8"/>
    <w:rsid w:val="00D12254"/>
    <w:rsid w:val="00D13161"/>
    <w:rsid w:val="00D13C53"/>
    <w:rsid w:val="00D13F94"/>
    <w:rsid w:val="00D140A0"/>
    <w:rsid w:val="00D141AB"/>
    <w:rsid w:val="00D14B26"/>
    <w:rsid w:val="00D1503F"/>
    <w:rsid w:val="00D16318"/>
    <w:rsid w:val="00D17E5B"/>
    <w:rsid w:val="00D20C89"/>
    <w:rsid w:val="00D22468"/>
    <w:rsid w:val="00D231D7"/>
    <w:rsid w:val="00D23F81"/>
    <w:rsid w:val="00D26A6F"/>
    <w:rsid w:val="00D2764B"/>
    <w:rsid w:val="00D30C14"/>
    <w:rsid w:val="00D31D38"/>
    <w:rsid w:val="00D32806"/>
    <w:rsid w:val="00D32DDD"/>
    <w:rsid w:val="00D371D5"/>
    <w:rsid w:val="00D40254"/>
    <w:rsid w:val="00D4070F"/>
    <w:rsid w:val="00D417B1"/>
    <w:rsid w:val="00D42471"/>
    <w:rsid w:val="00D47D78"/>
    <w:rsid w:val="00D47F7A"/>
    <w:rsid w:val="00D5034B"/>
    <w:rsid w:val="00D512B0"/>
    <w:rsid w:val="00D53083"/>
    <w:rsid w:val="00D53335"/>
    <w:rsid w:val="00D533D6"/>
    <w:rsid w:val="00D53E6B"/>
    <w:rsid w:val="00D572D9"/>
    <w:rsid w:val="00D572E7"/>
    <w:rsid w:val="00D62007"/>
    <w:rsid w:val="00D632CC"/>
    <w:rsid w:val="00D64B65"/>
    <w:rsid w:val="00D64BA0"/>
    <w:rsid w:val="00D662C1"/>
    <w:rsid w:val="00D67253"/>
    <w:rsid w:val="00D6799F"/>
    <w:rsid w:val="00D679E0"/>
    <w:rsid w:val="00D67A3F"/>
    <w:rsid w:val="00D70E49"/>
    <w:rsid w:val="00D7121B"/>
    <w:rsid w:val="00D72036"/>
    <w:rsid w:val="00D72C7C"/>
    <w:rsid w:val="00D7322E"/>
    <w:rsid w:val="00D741EE"/>
    <w:rsid w:val="00D74F69"/>
    <w:rsid w:val="00D751B5"/>
    <w:rsid w:val="00D759AD"/>
    <w:rsid w:val="00D75C6E"/>
    <w:rsid w:val="00D80E8F"/>
    <w:rsid w:val="00D81B67"/>
    <w:rsid w:val="00D82AD7"/>
    <w:rsid w:val="00D83293"/>
    <w:rsid w:val="00D847F0"/>
    <w:rsid w:val="00D8719F"/>
    <w:rsid w:val="00D8729B"/>
    <w:rsid w:val="00D87713"/>
    <w:rsid w:val="00D9007F"/>
    <w:rsid w:val="00D90989"/>
    <w:rsid w:val="00D92490"/>
    <w:rsid w:val="00D93909"/>
    <w:rsid w:val="00D94392"/>
    <w:rsid w:val="00D94A82"/>
    <w:rsid w:val="00D95D28"/>
    <w:rsid w:val="00D970B2"/>
    <w:rsid w:val="00D97A09"/>
    <w:rsid w:val="00DA11C6"/>
    <w:rsid w:val="00DA21E1"/>
    <w:rsid w:val="00DA3927"/>
    <w:rsid w:val="00DA5D1A"/>
    <w:rsid w:val="00DA6265"/>
    <w:rsid w:val="00DA6B40"/>
    <w:rsid w:val="00DA70E8"/>
    <w:rsid w:val="00DB05CE"/>
    <w:rsid w:val="00DB1195"/>
    <w:rsid w:val="00DB5C2D"/>
    <w:rsid w:val="00DB5E00"/>
    <w:rsid w:val="00DB6DC2"/>
    <w:rsid w:val="00DB707E"/>
    <w:rsid w:val="00DB795F"/>
    <w:rsid w:val="00DB7C68"/>
    <w:rsid w:val="00DC089C"/>
    <w:rsid w:val="00DC0B73"/>
    <w:rsid w:val="00DC0FF8"/>
    <w:rsid w:val="00DC1888"/>
    <w:rsid w:val="00DC27D0"/>
    <w:rsid w:val="00DC3725"/>
    <w:rsid w:val="00DC4360"/>
    <w:rsid w:val="00DC5F72"/>
    <w:rsid w:val="00DC6963"/>
    <w:rsid w:val="00DC7887"/>
    <w:rsid w:val="00DD00F3"/>
    <w:rsid w:val="00DD0625"/>
    <w:rsid w:val="00DD17FD"/>
    <w:rsid w:val="00DD182E"/>
    <w:rsid w:val="00DD3D7C"/>
    <w:rsid w:val="00DD414F"/>
    <w:rsid w:val="00DD4208"/>
    <w:rsid w:val="00DD49D8"/>
    <w:rsid w:val="00DD56AB"/>
    <w:rsid w:val="00DD7DDF"/>
    <w:rsid w:val="00DE18F8"/>
    <w:rsid w:val="00DE1EA3"/>
    <w:rsid w:val="00DE2E47"/>
    <w:rsid w:val="00DE2E8E"/>
    <w:rsid w:val="00DE321B"/>
    <w:rsid w:val="00DE3E1D"/>
    <w:rsid w:val="00DE4BCC"/>
    <w:rsid w:val="00DE5325"/>
    <w:rsid w:val="00DE71B4"/>
    <w:rsid w:val="00DE73EE"/>
    <w:rsid w:val="00DE7E60"/>
    <w:rsid w:val="00DF083E"/>
    <w:rsid w:val="00DF0859"/>
    <w:rsid w:val="00DF3ADA"/>
    <w:rsid w:val="00DF3F50"/>
    <w:rsid w:val="00DF593D"/>
    <w:rsid w:val="00DF6D9E"/>
    <w:rsid w:val="00E006D8"/>
    <w:rsid w:val="00E01410"/>
    <w:rsid w:val="00E01D4E"/>
    <w:rsid w:val="00E033F3"/>
    <w:rsid w:val="00E03ECA"/>
    <w:rsid w:val="00E049A3"/>
    <w:rsid w:val="00E05514"/>
    <w:rsid w:val="00E06854"/>
    <w:rsid w:val="00E077AC"/>
    <w:rsid w:val="00E0781C"/>
    <w:rsid w:val="00E11BC0"/>
    <w:rsid w:val="00E12FF1"/>
    <w:rsid w:val="00E13598"/>
    <w:rsid w:val="00E14083"/>
    <w:rsid w:val="00E15532"/>
    <w:rsid w:val="00E16AA9"/>
    <w:rsid w:val="00E16BDA"/>
    <w:rsid w:val="00E16FD7"/>
    <w:rsid w:val="00E203A4"/>
    <w:rsid w:val="00E20982"/>
    <w:rsid w:val="00E21ACC"/>
    <w:rsid w:val="00E222C3"/>
    <w:rsid w:val="00E22590"/>
    <w:rsid w:val="00E232FE"/>
    <w:rsid w:val="00E2677B"/>
    <w:rsid w:val="00E26DCE"/>
    <w:rsid w:val="00E27A91"/>
    <w:rsid w:val="00E3140C"/>
    <w:rsid w:val="00E32015"/>
    <w:rsid w:val="00E3233E"/>
    <w:rsid w:val="00E338F2"/>
    <w:rsid w:val="00E34A5A"/>
    <w:rsid w:val="00E355BF"/>
    <w:rsid w:val="00E40539"/>
    <w:rsid w:val="00E41D53"/>
    <w:rsid w:val="00E424D9"/>
    <w:rsid w:val="00E426A3"/>
    <w:rsid w:val="00E456D8"/>
    <w:rsid w:val="00E46F3B"/>
    <w:rsid w:val="00E4784D"/>
    <w:rsid w:val="00E5087A"/>
    <w:rsid w:val="00E50BCC"/>
    <w:rsid w:val="00E50DF1"/>
    <w:rsid w:val="00E50E46"/>
    <w:rsid w:val="00E51EBC"/>
    <w:rsid w:val="00E52277"/>
    <w:rsid w:val="00E53546"/>
    <w:rsid w:val="00E549C9"/>
    <w:rsid w:val="00E54CEC"/>
    <w:rsid w:val="00E5539F"/>
    <w:rsid w:val="00E55D47"/>
    <w:rsid w:val="00E56518"/>
    <w:rsid w:val="00E577A4"/>
    <w:rsid w:val="00E6094F"/>
    <w:rsid w:val="00E60FDB"/>
    <w:rsid w:val="00E61B15"/>
    <w:rsid w:val="00E6287D"/>
    <w:rsid w:val="00E62D9E"/>
    <w:rsid w:val="00E63A44"/>
    <w:rsid w:val="00E64453"/>
    <w:rsid w:val="00E65901"/>
    <w:rsid w:val="00E73FE3"/>
    <w:rsid w:val="00E741A4"/>
    <w:rsid w:val="00E75DD9"/>
    <w:rsid w:val="00E76081"/>
    <w:rsid w:val="00E763C5"/>
    <w:rsid w:val="00E77568"/>
    <w:rsid w:val="00E8007F"/>
    <w:rsid w:val="00E806CF"/>
    <w:rsid w:val="00E813CF"/>
    <w:rsid w:val="00E84366"/>
    <w:rsid w:val="00E84A17"/>
    <w:rsid w:val="00E84CF1"/>
    <w:rsid w:val="00E8520A"/>
    <w:rsid w:val="00E853CC"/>
    <w:rsid w:val="00E85FAE"/>
    <w:rsid w:val="00E8798E"/>
    <w:rsid w:val="00E87B42"/>
    <w:rsid w:val="00E87EA7"/>
    <w:rsid w:val="00E905EE"/>
    <w:rsid w:val="00E90FD7"/>
    <w:rsid w:val="00E91110"/>
    <w:rsid w:val="00E92429"/>
    <w:rsid w:val="00E92950"/>
    <w:rsid w:val="00E945F8"/>
    <w:rsid w:val="00E952EB"/>
    <w:rsid w:val="00E958CC"/>
    <w:rsid w:val="00E95D7D"/>
    <w:rsid w:val="00E97F8D"/>
    <w:rsid w:val="00EA10BB"/>
    <w:rsid w:val="00EA19C1"/>
    <w:rsid w:val="00EA285C"/>
    <w:rsid w:val="00EA3399"/>
    <w:rsid w:val="00EA3BA0"/>
    <w:rsid w:val="00EA6765"/>
    <w:rsid w:val="00EB1BE2"/>
    <w:rsid w:val="00EB1F18"/>
    <w:rsid w:val="00EB2E05"/>
    <w:rsid w:val="00EB4C9E"/>
    <w:rsid w:val="00EB5831"/>
    <w:rsid w:val="00EC23B5"/>
    <w:rsid w:val="00EC374F"/>
    <w:rsid w:val="00EC7152"/>
    <w:rsid w:val="00ED147D"/>
    <w:rsid w:val="00ED1AFA"/>
    <w:rsid w:val="00ED1F1E"/>
    <w:rsid w:val="00ED2FF2"/>
    <w:rsid w:val="00ED38A3"/>
    <w:rsid w:val="00ED484B"/>
    <w:rsid w:val="00ED542A"/>
    <w:rsid w:val="00ED6D8C"/>
    <w:rsid w:val="00ED7482"/>
    <w:rsid w:val="00EE056C"/>
    <w:rsid w:val="00EE0779"/>
    <w:rsid w:val="00EE0814"/>
    <w:rsid w:val="00EE118E"/>
    <w:rsid w:val="00EE339C"/>
    <w:rsid w:val="00EE3AD1"/>
    <w:rsid w:val="00EE5930"/>
    <w:rsid w:val="00EE608F"/>
    <w:rsid w:val="00EE6A0A"/>
    <w:rsid w:val="00EF0BEF"/>
    <w:rsid w:val="00EF2339"/>
    <w:rsid w:val="00EF294B"/>
    <w:rsid w:val="00EF304B"/>
    <w:rsid w:val="00EF5C2B"/>
    <w:rsid w:val="00EF5F52"/>
    <w:rsid w:val="00F0097A"/>
    <w:rsid w:val="00F021C6"/>
    <w:rsid w:val="00F023B6"/>
    <w:rsid w:val="00F03507"/>
    <w:rsid w:val="00F03CE3"/>
    <w:rsid w:val="00F03FF3"/>
    <w:rsid w:val="00F12158"/>
    <w:rsid w:val="00F12C2F"/>
    <w:rsid w:val="00F13C7C"/>
    <w:rsid w:val="00F153DE"/>
    <w:rsid w:val="00F1628A"/>
    <w:rsid w:val="00F16F65"/>
    <w:rsid w:val="00F17A01"/>
    <w:rsid w:val="00F219AA"/>
    <w:rsid w:val="00F22C29"/>
    <w:rsid w:val="00F25380"/>
    <w:rsid w:val="00F25622"/>
    <w:rsid w:val="00F25EFF"/>
    <w:rsid w:val="00F27317"/>
    <w:rsid w:val="00F27318"/>
    <w:rsid w:val="00F300C8"/>
    <w:rsid w:val="00F31DD8"/>
    <w:rsid w:val="00F3240E"/>
    <w:rsid w:val="00F32694"/>
    <w:rsid w:val="00F3282B"/>
    <w:rsid w:val="00F32926"/>
    <w:rsid w:val="00F33031"/>
    <w:rsid w:val="00F345E6"/>
    <w:rsid w:val="00F348EE"/>
    <w:rsid w:val="00F35359"/>
    <w:rsid w:val="00F3709C"/>
    <w:rsid w:val="00F40736"/>
    <w:rsid w:val="00F411AB"/>
    <w:rsid w:val="00F41799"/>
    <w:rsid w:val="00F420AA"/>
    <w:rsid w:val="00F4420D"/>
    <w:rsid w:val="00F44DA2"/>
    <w:rsid w:val="00F45744"/>
    <w:rsid w:val="00F464A8"/>
    <w:rsid w:val="00F50061"/>
    <w:rsid w:val="00F54556"/>
    <w:rsid w:val="00F547C6"/>
    <w:rsid w:val="00F56A3C"/>
    <w:rsid w:val="00F56D8A"/>
    <w:rsid w:val="00F57629"/>
    <w:rsid w:val="00F617F3"/>
    <w:rsid w:val="00F61B0F"/>
    <w:rsid w:val="00F61E3B"/>
    <w:rsid w:val="00F63BC1"/>
    <w:rsid w:val="00F64CAE"/>
    <w:rsid w:val="00F6667B"/>
    <w:rsid w:val="00F671B8"/>
    <w:rsid w:val="00F67215"/>
    <w:rsid w:val="00F70885"/>
    <w:rsid w:val="00F70C0D"/>
    <w:rsid w:val="00F7322C"/>
    <w:rsid w:val="00F7437C"/>
    <w:rsid w:val="00F74D34"/>
    <w:rsid w:val="00F75045"/>
    <w:rsid w:val="00F76028"/>
    <w:rsid w:val="00F77540"/>
    <w:rsid w:val="00F808AA"/>
    <w:rsid w:val="00F826C3"/>
    <w:rsid w:val="00F84CCB"/>
    <w:rsid w:val="00F84DBB"/>
    <w:rsid w:val="00F84E99"/>
    <w:rsid w:val="00F85083"/>
    <w:rsid w:val="00F86683"/>
    <w:rsid w:val="00F86A3D"/>
    <w:rsid w:val="00F86AE2"/>
    <w:rsid w:val="00F87720"/>
    <w:rsid w:val="00F90935"/>
    <w:rsid w:val="00F91509"/>
    <w:rsid w:val="00F92143"/>
    <w:rsid w:val="00F943A7"/>
    <w:rsid w:val="00F95D36"/>
    <w:rsid w:val="00F960ED"/>
    <w:rsid w:val="00F9656E"/>
    <w:rsid w:val="00FA159C"/>
    <w:rsid w:val="00FA29C9"/>
    <w:rsid w:val="00FA6348"/>
    <w:rsid w:val="00FB0299"/>
    <w:rsid w:val="00FB076D"/>
    <w:rsid w:val="00FB1D1E"/>
    <w:rsid w:val="00FB3232"/>
    <w:rsid w:val="00FB4C70"/>
    <w:rsid w:val="00FB7FEB"/>
    <w:rsid w:val="00FC062A"/>
    <w:rsid w:val="00FC2F18"/>
    <w:rsid w:val="00FC698F"/>
    <w:rsid w:val="00FC6F40"/>
    <w:rsid w:val="00FC70BB"/>
    <w:rsid w:val="00FC7205"/>
    <w:rsid w:val="00FC7D09"/>
    <w:rsid w:val="00FD0E57"/>
    <w:rsid w:val="00FD4225"/>
    <w:rsid w:val="00FD4962"/>
    <w:rsid w:val="00FD4F8D"/>
    <w:rsid w:val="00FD5D02"/>
    <w:rsid w:val="00FD6ED6"/>
    <w:rsid w:val="00FD7DB3"/>
    <w:rsid w:val="00FE07E4"/>
    <w:rsid w:val="00FE179A"/>
    <w:rsid w:val="00FE1B87"/>
    <w:rsid w:val="00FE28F2"/>
    <w:rsid w:val="00FE2A94"/>
    <w:rsid w:val="00FE587B"/>
    <w:rsid w:val="00FE6794"/>
    <w:rsid w:val="00FF0E38"/>
    <w:rsid w:val="00FF4597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879B4-F5AF-4D9F-ADDF-D4602838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9C"/>
  </w:style>
  <w:style w:type="paragraph" w:styleId="2">
    <w:name w:val="heading 2"/>
    <w:basedOn w:val="Standard"/>
    <w:next w:val="Standard"/>
    <w:link w:val="20"/>
    <w:uiPriority w:val="99"/>
    <w:qFormat/>
    <w:rsid w:val="003C3A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AF3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3AF3"/>
    <w:rPr>
      <w:rFonts w:ascii="Arial" w:eastAsia="Arial Unicode MS" w:hAnsi="Arial" w:cs="Arial"/>
      <w:b/>
      <w:bCs/>
      <w:i/>
      <w:iCs/>
      <w:color w:val="000000"/>
      <w:kern w:val="3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3C3AF3"/>
    <w:rPr>
      <w:rFonts w:ascii="Cambria" w:eastAsia="Times New Roman" w:hAnsi="Cambria" w:cs="Cambria"/>
      <w:color w:val="243F6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3AF3"/>
  </w:style>
  <w:style w:type="paragraph" w:customStyle="1" w:styleId="ConsPlusNonformat">
    <w:name w:val="ConsPlusNonformat"/>
    <w:uiPriority w:val="99"/>
    <w:rsid w:val="003C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3A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C3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C3A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C3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C3A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C3A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3C3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3C3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3C3A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3C3A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3C3A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C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C3A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3C3A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uiPriority w:val="99"/>
    <w:rsid w:val="003C3AF3"/>
    <w:pPr>
      <w:suppressLineNumbers/>
    </w:pPr>
  </w:style>
  <w:style w:type="paragraph" w:customStyle="1" w:styleId="TableHeading">
    <w:name w:val="Table Heading"/>
    <w:basedOn w:val="TableContents"/>
    <w:uiPriority w:val="99"/>
    <w:rsid w:val="003C3AF3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rsid w:val="003C3A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3C3AF3"/>
    <w:pPr>
      <w:ind w:right="-951"/>
    </w:pPr>
  </w:style>
  <w:style w:type="paragraph" w:customStyle="1" w:styleId="Heading">
    <w:name w:val="Heading"/>
    <w:basedOn w:val="Standard"/>
    <w:next w:val="Textbody"/>
    <w:uiPriority w:val="99"/>
    <w:rsid w:val="003C3AF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BulletSymbols">
    <w:name w:val="Bullet Symbols"/>
    <w:uiPriority w:val="99"/>
    <w:rsid w:val="003C3AF3"/>
    <w:rPr>
      <w:rFonts w:ascii="OpenSymbol" w:eastAsia="Times New Roman" w:hAnsi="OpenSymbol" w:cs="OpenSymbol"/>
    </w:rPr>
  </w:style>
  <w:style w:type="character" w:customStyle="1" w:styleId="NumberingSymbols">
    <w:name w:val="Numbering Symbols"/>
    <w:uiPriority w:val="99"/>
    <w:rsid w:val="003C3AF3"/>
  </w:style>
  <w:style w:type="character" w:customStyle="1" w:styleId="WW8Num3z0">
    <w:name w:val="WW8Num3z0"/>
    <w:uiPriority w:val="99"/>
    <w:rsid w:val="003C3AF3"/>
    <w:rPr>
      <w:rFonts w:ascii="Symbol" w:hAnsi="Symbol" w:cs="Symbol"/>
    </w:rPr>
  </w:style>
  <w:style w:type="character" w:customStyle="1" w:styleId="WW8Num4z0">
    <w:name w:val="WW8Num4z0"/>
    <w:uiPriority w:val="99"/>
    <w:rsid w:val="003C3AF3"/>
    <w:rPr>
      <w:rFonts w:ascii="Symbol" w:hAnsi="Symbol" w:cs="Symbol"/>
    </w:rPr>
  </w:style>
  <w:style w:type="character" w:customStyle="1" w:styleId="WW8Num5z0">
    <w:name w:val="WW8Num5z0"/>
    <w:uiPriority w:val="99"/>
    <w:rsid w:val="003C3AF3"/>
    <w:rPr>
      <w:rFonts w:ascii="Symbol" w:hAnsi="Symbol" w:cs="Symbol"/>
    </w:rPr>
  </w:style>
  <w:style w:type="paragraph" w:styleId="af0">
    <w:name w:val="Normal (Web)"/>
    <w:basedOn w:val="a"/>
    <w:uiPriority w:val="99"/>
    <w:rsid w:val="003C3A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rsid w:val="003C3AF3"/>
    <w:rPr>
      <w:color w:val="000080"/>
      <w:u w:val="single"/>
    </w:rPr>
  </w:style>
  <w:style w:type="paragraph" w:styleId="af2">
    <w:name w:val="caption"/>
    <w:basedOn w:val="a"/>
    <w:next w:val="a"/>
    <w:uiPriority w:val="99"/>
    <w:qFormat/>
    <w:rsid w:val="003C3AF3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Arial Unicode MS" w:hAnsi="Calibri" w:cs="Calibri"/>
      <w:b/>
      <w:bCs/>
      <w:color w:val="4F81BD"/>
      <w:kern w:val="3"/>
      <w:sz w:val="18"/>
      <w:szCs w:val="18"/>
      <w:lang w:val="en-US"/>
    </w:rPr>
  </w:style>
  <w:style w:type="paragraph" w:customStyle="1" w:styleId="western">
    <w:name w:val="western"/>
    <w:basedOn w:val="a"/>
    <w:uiPriority w:val="99"/>
    <w:rsid w:val="003C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Document Map"/>
    <w:basedOn w:val="Standard"/>
    <w:link w:val="af4"/>
    <w:uiPriority w:val="99"/>
    <w:semiHidden/>
    <w:rsid w:val="003C3AF3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shd w:val="clear" w:color="auto" w:fill="000080"/>
      <w:lang w:val="ru-RU" w:eastAsia="zh-CN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C3AF3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customStyle="1" w:styleId="ConsPlusNonformat1">
    <w:name w:val="ConsPlusNonformat1"/>
    <w:next w:val="a"/>
    <w:uiPriority w:val="99"/>
    <w:rsid w:val="003C3AF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3C3AF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5">
    <w:name w:val="Body Text Indent"/>
    <w:basedOn w:val="a"/>
    <w:link w:val="af6"/>
    <w:uiPriority w:val="99"/>
    <w:semiHidden/>
    <w:rsid w:val="003C3AF3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C3AF3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23">
    <w:name w:val="Основной шрифт абзаца2"/>
    <w:uiPriority w:val="99"/>
    <w:rsid w:val="003C3AF3"/>
  </w:style>
  <w:style w:type="paragraph" w:customStyle="1" w:styleId="10">
    <w:name w:val="Обычный1"/>
    <w:uiPriority w:val="99"/>
    <w:rsid w:val="003C3AF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WW8Num2z1">
    <w:name w:val="WW8Num2z1"/>
    <w:uiPriority w:val="99"/>
    <w:rsid w:val="003C3AF3"/>
    <w:rPr>
      <w:rFonts w:ascii="OpenSymbol" w:hAnsi="OpenSymbol" w:cs="OpenSymbol"/>
    </w:rPr>
  </w:style>
  <w:style w:type="paragraph" w:styleId="24">
    <w:name w:val="Body Text First Indent 2"/>
    <w:basedOn w:val="af5"/>
    <w:link w:val="25"/>
    <w:uiPriority w:val="99"/>
    <w:semiHidden/>
    <w:rsid w:val="003C3AF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3C3AF3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paragraph" w:styleId="26">
    <w:name w:val="Body Text Indent 2"/>
    <w:basedOn w:val="a"/>
    <w:link w:val="27"/>
    <w:uiPriority w:val="99"/>
    <w:rsid w:val="003C3AF3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3C3AF3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numbering" w:customStyle="1" w:styleId="WW8Num5">
    <w:name w:val="WW8Num5"/>
    <w:rsid w:val="003C3AF3"/>
    <w:pPr>
      <w:numPr>
        <w:numId w:val="26"/>
      </w:numPr>
    </w:pPr>
  </w:style>
  <w:style w:type="numbering" w:customStyle="1" w:styleId="WW8Num3">
    <w:name w:val="WW8Num3"/>
    <w:rsid w:val="003C3AF3"/>
    <w:pPr>
      <w:numPr>
        <w:numId w:val="24"/>
      </w:numPr>
    </w:pPr>
  </w:style>
  <w:style w:type="numbering" w:customStyle="1" w:styleId="WW8Num4">
    <w:name w:val="WW8Num4"/>
    <w:rsid w:val="003C3AF3"/>
    <w:pPr>
      <w:numPr>
        <w:numId w:val="25"/>
      </w:numPr>
    </w:pPr>
  </w:style>
  <w:style w:type="paragraph" w:styleId="af7">
    <w:name w:val="footnote text"/>
    <w:basedOn w:val="a"/>
    <w:link w:val="af8"/>
    <w:uiPriority w:val="99"/>
    <w:semiHidden/>
    <w:unhideWhenUsed/>
    <w:rsid w:val="00BC1FB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C1FB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C1FBC"/>
    <w:rPr>
      <w:vertAlign w:val="superscript"/>
    </w:rPr>
  </w:style>
  <w:style w:type="paragraph" w:customStyle="1" w:styleId="11">
    <w:name w:val="Текст сноски1"/>
    <w:basedOn w:val="a"/>
    <w:next w:val="af7"/>
    <w:uiPriority w:val="99"/>
    <w:semiHidden/>
    <w:unhideWhenUsed/>
    <w:rsid w:val="00BF06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667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4"/>
    <w:uiPriority w:val="59"/>
    <w:rsid w:val="00DA7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sid w:val="009B3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2725-3C20-43E4-BDCC-FBE85D97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13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ЕВПКСО5</dc:creator>
  <cp:keywords/>
  <cp:lastModifiedBy>User</cp:lastModifiedBy>
  <cp:revision>145</cp:revision>
  <cp:lastPrinted>2024-06-25T14:33:00Z</cp:lastPrinted>
  <dcterms:created xsi:type="dcterms:W3CDTF">2022-01-31T05:49:00Z</dcterms:created>
  <dcterms:modified xsi:type="dcterms:W3CDTF">2024-06-25T14:38:00Z</dcterms:modified>
</cp:coreProperties>
</file>