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E" w:rsidRPr="00590C4E" w:rsidRDefault="008F5676" w:rsidP="003D4426">
      <w:pPr>
        <w:spacing w:line="276" w:lineRule="auto"/>
        <w:ind w:left="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192pt;margin-top:17.35pt;width:39.1pt;height:48.2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415 0 -415 21262 21600 21262 21600 0 -415 0">
            <v:imagedata r:id="rId7" o:title="" gain="5"/>
            <w10:wrap type="through"/>
          </v:shape>
        </w:pict>
      </w:r>
      <w:r>
        <w:rPr>
          <w:noProof/>
        </w:rPr>
        <w:pict>
          <v:shape id="Рисунок 4" o:spid="_x0000_s1030" type="#_x0000_t75" style="position:absolute;left:0;text-align:left;margin-left:321.25pt;margin-top:15.85pt;width:36.25pt;height:48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8" o:title="Герб чернобелый"/>
            <w10:wrap type="topAndBottom"/>
          </v:shape>
        </w:pic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5870EE" w:rsidRDefault="005870EE" w:rsidP="003D4426">
      <w:pPr>
        <w:ind w:left="567" w:right="-285"/>
        <w:jc w:val="center"/>
      </w:pPr>
      <w:r>
        <w:t xml:space="preserve">Сессия </w:t>
      </w:r>
      <w:r w:rsidRPr="00985ED8">
        <w:t>№</w:t>
      </w:r>
      <w:r w:rsidR="00C26B06" w:rsidRPr="00985ED8">
        <w:t xml:space="preserve"> </w:t>
      </w:r>
      <w:r w:rsidR="00985ED8" w:rsidRPr="00985ED8">
        <w:t>_____</w:t>
      </w:r>
    </w:p>
    <w:p w:rsidR="005870EE" w:rsidRDefault="00CB5C4B" w:rsidP="003D4426">
      <w:pPr>
        <w:ind w:left="567" w:right="-285"/>
        <w:jc w:val="center"/>
        <w:rPr>
          <w:sz w:val="36"/>
          <w:szCs w:val="36"/>
        </w:rPr>
      </w:pPr>
      <w:r w:rsidRPr="00CB5C4B">
        <w:t>________</w:t>
      </w:r>
      <w:r>
        <w:t>___</w:t>
      </w:r>
      <w:r w:rsidR="005870EE">
        <w:rPr>
          <w:sz w:val="36"/>
          <w:szCs w:val="36"/>
        </w:rPr>
        <w:t xml:space="preserve">           </w:t>
      </w:r>
      <w:r w:rsidR="005870EE">
        <w:t xml:space="preserve">                    г. Евпатория                                     </w:t>
      </w:r>
      <w:r w:rsidR="005870EE" w:rsidRPr="00CB5C4B">
        <w:t xml:space="preserve"> </w:t>
      </w:r>
      <w:r w:rsidRPr="00CB5C4B">
        <w:t>_________</w:t>
      </w:r>
      <w:r w:rsidR="005870EE">
        <w:rPr>
          <w:sz w:val="36"/>
          <w:szCs w:val="3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57322F" w:rsidRPr="0057322F" w:rsidTr="007B1FCB">
        <w:tc>
          <w:tcPr>
            <w:tcW w:w="6204" w:type="dxa"/>
            <w:shd w:val="clear" w:color="auto" w:fill="auto"/>
          </w:tcPr>
          <w:p w:rsidR="0057322F" w:rsidRDefault="0057322F" w:rsidP="005732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7322F" w:rsidRDefault="0057322F" w:rsidP="005732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322F">
              <w:rPr>
                <w:b/>
                <w:sz w:val="24"/>
                <w:szCs w:val="24"/>
              </w:rPr>
              <w:t>Об утверждении прогнозного плана (программы) приватизации муниципального имущества, находящегося в собственности муниципального образования городской округ Евпатория Республики Крым, на 2025 и на плановый период 2026 и 2027 годы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7322F" w:rsidRPr="0057322F" w:rsidRDefault="0057322F" w:rsidP="0057322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7322F" w:rsidRPr="0057322F" w:rsidRDefault="0057322F" w:rsidP="0057322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Cs/>
          <w:kern w:val="32"/>
          <w:sz w:val="24"/>
          <w:szCs w:val="24"/>
          <w:lang w:val="x-none" w:eastAsia="x-none"/>
        </w:rPr>
      </w:pPr>
      <w:r w:rsidRPr="0057322F">
        <w:rPr>
          <w:bCs/>
          <w:kern w:val="32"/>
          <w:sz w:val="24"/>
          <w:szCs w:val="24"/>
          <w:lang w:val="x-none" w:eastAsia="x-none"/>
        </w:rPr>
        <w:t xml:space="preserve">В соответствии со ст. 217 Гражданского кодекса Российской Федерации, </w:t>
      </w:r>
      <w:r w:rsidRPr="0057322F">
        <w:rPr>
          <w:bCs/>
          <w:kern w:val="32"/>
          <w:sz w:val="24"/>
          <w:szCs w:val="24"/>
          <w:lang w:eastAsia="x-none"/>
        </w:rPr>
        <w:t xml:space="preserve">                                </w:t>
      </w:r>
      <w:r w:rsidRPr="0057322F">
        <w:rPr>
          <w:bCs/>
          <w:kern w:val="32"/>
          <w:sz w:val="24"/>
          <w:szCs w:val="24"/>
          <w:lang w:val="x-none" w:eastAsia="x-none"/>
        </w:rPr>
        <w:t>ст. 35,  51 Федерального закона от 06.10.2003 №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131-ФЗ «Об общих принципах организации местного самоуправления в Российской Федерации», Федеральным законом от 21.12.2001 </w:t>
      </w:r>
      <w:r w:rsidRPr="0057322F">
        <w:rPr>
          <w:bCs/>
          <w:kern w:val="32"/>
          <w:sz w:val="24"/>
          <w:szCs w:val="24"/>
          <w:lang w:eastAsia="x-none"/>
        </w:rPr>
        <w:t xml:space="preserve">                  </w:t>
      </w:r>
      <w:r w:rsidRPr="0057322F">
        <w:rPr>
          <w:bCs/>
          <w:kern w:val="32"/>
          <w:sz w:val="24"/>
          <w:szCs w:val="24"/>
          <w:lang w:val="x-none" w:eastAsia="x-none"/>
        </w:rPr>
        <w:t>№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178-ФЗ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«О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приватизации государственного  и муниципального имущества», </w:t>
      </w:r>
      <w:r w:rsidRPr="0057322F">
        <w:rPr>
          <w:bCs/>
          <w:kern w:val="32"/>
          <w:sz w:val="24"/>
          <w:szCs w:val="24"/>
          <w:lang w:eastAsia="x-none"/>
        </w:rPr>
        <w:t xml:space="preserve">                 </w:t>
      </w:r>
      <w:r w:rsidRPr="0057322F">
        <w:rPr>
          <w:bCs/>
          <w:kern w:val="32"/>
          <w:sz w:val="24"/>
          <w:szCs w:val="24"/>
          <w:lang w:val="x-none" w:eastAsia="x-none"/>
        </w:rPr>
        <w:t>Федеральным законом от 22.07.2008 №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159-ФЗ «Об особенностях отчуждения недвижимого имущества, находящегося  в собственности субъектов Российский Федерации</w:t>
      </w:r>
      <w:r>
        <w:rPr>
          <w:bCs/>
          <w:kern w:val="32"/>
          <w:sz w:val="24"/>
          <w:szCs w:val="24"/>
          <w:lang w:val="x-none" w:eastAsia="x-none"/>
        </w:rPr>
        <w:br/>
      </w:r>
      <w:r w:rsidRPr="0057322F">
        <w:rPr>
          <w:bCs/>
          <w:kern w:val="32"/>
          <w:sz w:val="24"/>
          <w:szCs w:val="24"/>
          <w:lang w:val="x-none" w:eastAsia="x-none"/>
        </w:rPr>
        <w:t>или</w:t>
      </w:r>
      <w:r>
        <w:rPr>
          <w:bCs/>
          <w:kern w:val="32"/>
          <w:sz w:val="24"/>
          <w:szCs w:val="24"/>
          <w:lang w:val="x-none"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в муниципальной собственности и арендуемого субъектами малого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и среднего предпринимательства, и о внесении изменений в отдельные законодательные акты Российской Федерации»,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ст</w:t>
      </w:r>
      <w:r w:rsidRPr="0057322F">
        <w:rPr>
          <w:bCs/>
          <w:kern w:val="32"/>
          <w:sz w:val="24"/>
          <w:szCs w:val="24"/>
          <w:lang w:eastAsia="x-none"/>
        </w:rPr>
        <w:t>.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 3 Федерального закона №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485-</w:t>
      </w:r>
      <w:r w:rsidRPr="0057322F">
        <w:rPr>
          <w:bCs/>
          <w:kern w:val="32"/>
          <w:sz w:val="24"/>
          <w:szCs w:val="24"/>
          <w:lang w:eastAsia="x-none"/>
        </w:rPr>
        <w:t>ФЗ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 от 2</w:t>
      </w:r>
      <w:r>
        <w:rPr>
          <w:bCs/>
          <w:kern w:val="32"/>
          <w:sz w:val="24"/>
          <w:szCs w:val="24"/>
          <w:lang w:val="x-none" w:eastAsia="x-none"/>
        </w:rPr>
        <w:t>7.12.2019 «О внесении изменений</w:t>
      </w:r>
      <w:r>
        <w:rPr>
          <w:bCs/>
          <w:kern w:val="32"/>
          <w:sz w:val="24"/>
          <w:szCs w:val="24"/>
          <w:lang w:val="x-none" w:eastAsia="x-none"/>
        </w:rPr>
        <w:br/>
      </w:r>
      <w:r w:rsidRPr="0057322F">
        <w:rPr>
          <w:bCs/>
          <w:kern w:val="32"/>
          <w:sz w:val="24"/>
          <w:szCs w:val="24"/>
          <w:lang w:val="x-none" w:eastAsia="x-none"/>
        </w:rPr>
        <w:t>в Федеральный закон «О государственных и муниципальных унитарных пре</w:t>
      </w:r>
      <w:r>
        <w:rPr>
          <w:bCs/>
          <w:kern w:val="32"/>
          <w:sz w:val="24"/>
          <w:szCs w:val="24"/>
          <w:lang w:val="x-none" w:eastAsia="x-none"/>
        </w:rPr>
        <w:t>дприятиях»</w:t>
      </w:r>
      <w:r>
        <w:rPr>
          <w:bCs/>
          <w:kern w:val="32"/>
          <w:sz w:val="24"/>
          <w:szCs w:val="24"/>
          <w:lang w:val="x-none" w:eastAsia="x-none"/>
        </w:rPr>
        <w:br/>
      </w:r>
      <w:r w:rsidRPr="0057322F">
        <w:rPr>
          <w:bCs/>
          <w:kern w:val="32"/>
          <w:sz w:val="24"/>
          <w:szCs w:val="24"/>
          <w:lang w:val="x-none" w:eastAsia="x-none"/>
        </w:rPr>
        <w:t>и Федеральный закон «О защите конкуренции»</w:t>
      </w:r>
      <w:r w:rsidRPr="0057322F">
        <w:rPr>
          <w:bCs/>
          <w:kern w:val="32"/>
          <w:sz w:val="24"/>
          <w:szCs w:val="24"/>
          <w:lang w:eastAsia="x-none"/>
        </w:rPr>
        <w:t>,</w:t>
      </w:r>
      <w:r w:rsidRPr="0057322F">
        <w:rPr>
          <w:bCs/>
          <w:color w:val="000000"/>
          <w:kern w:val="32"/>
          <w:sz w:val="24"/>
          <w:szCs w:val="24"/>
          <w:lang w:val="x-none" w:eastAsia="x-none"/>
        </w:rPr>
        <w:t xml:space="preserve"> </w:t>
      </w:r>
      <w:r w:rsidRPr="0057322F">
        <w:rPr>
          <w:bCs/>
          <w:kern w:val="32"/>
          <w:sz w:val="24"/>
          <w:szCs w:val="24"/>
          <w:lang w:eastAsia="x-none"/>
        </w:rPr>
        <w:t>П</w:t>
      </w:r>
      <w:r w:rsidRPr="0057322F">
        <w:rPr>
          <w:bCs/>
          <w:kern w:val="36"/>
          <w:sz w:val="24"/>
          <w:szCs w:val="24"/>
        </w:rPr>
        <w:t>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</w:t>
      </w:r>
      <w:r>
        <w:rPr>
          <w:bCs/>
          <w:kern w:val="36"/>
          <w:sz w:val="24"/>
          <w:szCs w:val="24"/>
        </w:rPr>
        <w:t xml:space="preserve"> </w:t>
      </w:r>
      <w:r w:rsidRPr="0057322F">
        <w:rPr>
          <w:bCs/>
          <w:kern w:val="36"/>
          <w:sz w:val="24"/>
          <w:szCs w:val="24"/>
        </w:rPr>
        <w:t xml:space="preserve">и муниципального имущества </w:t>
      </w:r>
      <w:r>
        <w:rPr>
          <w:bCs/>
          <w:kern w:val="36"/>
          <w:sz w:val="24"/>
          <w:szCs w:val="24"/>
        </w:rPr>
        <w:t>и внесении изменений</w:t>
      </w:r>
      <w:r>
        <w:rPr>
          <w:bCs/>
          <w:kern w:val="36"/>
          <w:sz w:val="24"/>
          <w:szCs w:val="24"/>
        </w:rPr>
        <w:br/>
      </w:r>
      <w:r w:rsidRPr="0057322F">
        <w:rPr>
          <w:bCs/>
          <w:kern w:val="36"/>
          <w:sz w:val="24"/>
          <w:szCs w:val="24"/>
        </w:rPr>
        <w:t>в Правила подготовки и принятия решений об условиях приватизации федерального имущества»,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 ст. 40 Устава муниципального образования городской округ Евпатория Республики Крым, решением Евпаторийского городского совета </w:t>
      </w:r>
      <w:r w:rsidRPr="0057322F">
        <w:rPr>
          <w:bCs/>
          <w:kern w:val="32"/>
          <w:sz w:val="24"/>
          <w:szCs w:val="24"/>
          <w:lang w:eastAsia="x-none"/>
        </w:rPr>
        <w:t xml:space="preserve">Республики Крым </w:t>
      </w:r>
      <w:r w:rsidRPr="0057322F">
        <w:rPr>
          <w:bCs/>
          <w:kern w:val="32"/>
          <w:sz w:val="24"/>
          <w:szCs w:val="24"/>
          <w:lang w:val="x-none" w:eastAsia="x-none"/>
        </w:rPr>
        <w:t>от 29.09.2017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№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>
        <w:rPr>
          <w:bCs/>
          <w:kern w:val="32"/>
          <w:sz w:val="24"/>
          <w:szCs w:val="24"/>
          <w:lang w:val="x-none" w:eastAsia="x-none"/>
        </w:rPr>
        <w:t>1-63/5</w:t>
      </w:r>
      <w:r>
        <w:rPr>
          <w:bCs/>
          <w:kern w:val="32"/>
          <w:sz w:val="24"/>
          <w:szCs w:val="24"/>
          <w:lang w:val="x-none" w:eastAsia="x-none"/>
        </w:rPr>
        <w:br/>
      </w:r>
      <w:r w:rsidRPr="0057322F">
        <w:rPr>
          <w:bCs/>
          <w:kern w:val="32"/>
          <w:sz w:val="24"/>
          <w:szCs w:val="24"/>
          <w:lang w:val="x-none" w:eastAsia="x-none"/>
        </w:rPr>
        <w:t>«Об утверждении Положения</w:t>
      </w:r>
      <w:r w:rsidRPr="0057322F">
        <w:rPr>
          <w:bCs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kern w:val="32"/>
          <w:sz w:val="24"/>
          <w:szCs w:val="24"/>
          <w:lang w:val="x-none" w:eastAsia="x-none"/>
        </w:rPr>
        <w:t>о порядке и условиях приватизации муниципального имущества муниципального образования городской округ Евпатория Республики Крым в новой редакции»,</w:t>
      </w:r>
      <w:r>
        <w:rPr>
          <w:bCs/>
          <w:kern w:val="32"/>
          <w:sz w:val="24"/>
          <w:szCs w:val="24"/>
          <w:lang w:val="x-none" w:eastAsia="x-none"/>
        </w:rPr>
        <w:br/>
      </w:r>
      <w:r w:rsidRPr="0057322F">
        <w:rPr>
          <w:bCs/>
          <w:kern w:val="32"/>
          <w:sz w:val="24"/>
          <w:szCs w:val="24"/>
          <w:lang w:eastAsia="x-none"/>
        </w:rPr>
        <w:t xml:space="preserve">во </w:t>
      </w:r>
      <w:r w:rsidRPr="0057322F">
        <w:rPr>
          <w:bCs/>
          <w:color w:val="000000"/>
          <w:kern w:val="32"/>
          <w:sz w:val="24"/>
          <w:szCs w:val="24"/>
          <w:lang w:val="x-none" w:eastAsia="x-none"/>
        </w:rPr>
        <w:t>исполнение Поручения Председателя Совета министров Республики Крым</w:t>
      </w:r>
      <w:r w:rsidRPr="0057322F">
        <w:rPr>
          <w:bCs/>
          <w:color w:val="000000"/>
          <w:kern w:val="32"/>
          <w:sz w:val="24"/>
          <w:szCs w:val="24"/>
          <w:lang w:eastAsia="x-none"/>
        </w:rPr>
        <w:t xml:space="preserve"> </w:t>
      </w:r>
      <w:r w:rsidRPr="0057322F">
        <w:rPr>
          <w:bCs/>
          <w:color w:val="000000"/>
          <w:kern w:val="32"/>
          <w:sz w:val="24"/>
          <w:szCs w:val="24"/>
          <w:lang w:val="x-none" w:eastAsia="x-none"/>
        </w:rPr>
        <w:t>Гоцанюка Ю.М.</w:t>
      </w:r>
      <w:r>
        <w:rPr>
          <w:bCs/>
          <w:color w:val="000000"/>
          <w:kern w:val="32"/>
          <w:sz w:val="24"/>
          <w:szCs w:val="24"/>
          <w:lang w:val="x-none" w:eastAsia="x-none"/>
        </w:rPr>
        <w:br/>
      </w:r>
      <w:r w:rsidRPr="0057322F">
        <w:rPr>
          <w:bCs/>
          <w:color w:val="000000"/>
          <w:kern w:val="32"/>
          <w:sz w:val="24"/>
          <w:szCs w:val="24"/>
          <w:lang w:val="x-none" w:eastAsia="x-none"/>
        </w:rPr>
        <w:t>от 09.11.2023 № 1/01-60/5538</w:t>
      </w:r>
      <w:r w:rsidRPr="0057322F">
        <w:rPr>
          <w:bCs/>
          <w:color w:val="000000"/>
          <w:kern w:val="32"/>
          <w:sz w:val="24"/>
          <w:szCs w:val="24"/>
          <w:lang w:eastAsia="x-none"/>
        </w:rPr>
        <w:t xml:space="preserve">, </w:t>
      </w:r>
      <w:r w:rsidRPr="0057322F">
        <w:rPr>
          <w:bCs/>
          <w:kern w:val="32"/>
          <w:sz w:val="24"/>
          <w:szCs w:val="24"/>
          <w:lang w:val="x-none" w:eastAsia="x-none"/>
        </w:rPr>
        <w:t xml:space="preserve">- </w:t>
      </w:r>
    </w:p>
    <w:p w:rsidR="0057322F" w:rsidRDefault="0057322F" w:rsidP="005732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322F">
        <w:rPr>
          <w:sz w:val="24"/>
          <w:szCs w:val="24"/>
        </w:rPr>
        <w:t>городской совет РЕШИЛ: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  <w:r w:rsidRPr="0057322F">
        <w:rPr>
          <w:sz w:val="24"/>
          <w:szCs w:val="24"/>
          <w:lang w:eastAsia="en-US"/>
        </w:rPr>
        <w:tab/>
        <w:t>1. Утвердить прогнозный план (программу) приватизации муниципального имущества, находящегося в собственности муниципального образования городской округ Евпатория Республики Крым на 2025 и на плановый период 2026 и 2027 годы.</w:t>
      </w: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  <w:r w:rsidRPr="0057322F">
        <w:rPr>
          <w:sz w:val="24"/>
          <w:szCs w:val="24"/>
          <w:lang w:eastAsia="en-US"/>
        </w:rPr>
        <w:tab/>
        <w:t xml:space="preserve">2. Настоящее решение вступает в силу со дня официального опубликования (обнародования) на официальном портале Правительства Республики Крым – </w:t>
      </w:r>
      <w:hyperlink r:id="rId9" w:history="1">
        <w:r w:rsidRPr="0057322F">
          <w:rPr>
            <w:color w:val="000000"/>
            <w:sz w:val="24"/>
            <w:szCs w:val="24"/>
            <w:lang w:val="en-US" w:eastAsia="en-US"/>
          </w:rPr>
          <w:t>http</w:t>
        </w:r>
        <w:r w:rsidRPr="0057322F">
          <w:rPr>
            <w:color w:val="000000"/>
            <w:sz w:val="24"/>
            <w:szCs w:val="24"/>
            <w:lang w:eastAsia="en-US"/>
          </w:rPr>
          <w:t>://</w:t>
        </w:r>
        <w:r w:rsidRPr="0057322F">
          <w:rPr>
            <w:color w:val="000000"/>
            <w:sz w:val="24"/>
            <w:szCs w:val="24"/>
            <w:lang w:val="en-US" w:eastAsia="en-US"/>
          </w:rPr>
          <w:t>rk</w:t>
        </w:r>
        <w:r w:rsidRPr="0057322F">
          <w:rPr>
            <w:color w:val="000000"/>
            <w:sz w:val="24"/>
            <w:szCs w:val="24"/>
            <w:lang w:eastAsia="en-US"/>
          </w:rPr>
          <w:t>.</w:t>
        </w:r>
        <w:r w:rsidRPr="0057322F">
          <w:rPr>
            <w:color w:val="000000"/>
            <w:sz w:val="24"/>
            <w:szCs w:val="24"/>
            <w:lang w:val="en-US" w:eastAsia="en-US"/>
          </w:rPr>
          <w:t>gov</w:t>
        </w:r>
        <w:r w:rsidRPr="0057322F">
          <w:rPr>
            <w:color w:val="000000"/>
            <w:sz w:val="24"/>
            <w:szCs w:val="24"/>
            <w:lang w:eastAsia="en-US"/>
          </w:rPr>
          <w:t>.</w:t>
        </w:r>
        <w:r w:rsidRPr="0057322F">
          <w:rPr>
            <w:color w:val="000000"/>
            <w:sz w:val="24"/>
            <w:szCs w:val="24"/>
            <w:lang w:val="en-US" w:eastAsia="en-US"/>
          </w:rPr>
          <w:t>ru</w:t>
        </w:r>
      </w:hyperlink>
      <w:r w:rsidRPr="0057322F">
        <w:rPr>
          <w:sz w:val="24"/>
          <w:szCs w:val="24"/>
          <w:lang w:eastAsia="en-US"/>
        </w:rPr>
        <w:br/>
        <w:t>в разделе: муниципальные образования, подраздел – Евпатория,  а также на официальном сайте муниципального образования городской округ Евпатория Республики Крым –</w:t>
      </w:r>
      <w:r w:rsidRPr="0057322F">
        <w:rPr>
          <w:sz w:val="24"/>
          <w:szCs w:val="24"/>
          <w:lang w:eastAsia="en-US"/>
        </w:rPr>
        <w:br/>
      </w:r>
      <w:hyperlink r:id="rId10" w:history="1">
        <w:r w:rsidRPr="0057322F">
          <w:rPr>
            <w:color w:val="000000"/>
            <w:sz w:val="24"/>
            <w:szCs w:val="24"/>
            <w:lang w:val="en-US" w:eastAsia="en-US"/>
          </w:rPr>
          <w:t>http</w:t>
        </w:r>
        <w:r w:rsidRPr="0057322F">
          <w:rPr>
            <w:color w:val="000000"/>
            <w:sz w:val="24"/>
            <w:szCs w:val="24"/>
            <w:lang w:eastAsia="en-US"/>
          </w:rPr>
          <w:t>://</w:t>
        </w:r>
        <w:r w:rsidRPr="0057322F">
          <w:rPr>
            <w:color w:val="000000"/>
            <w:sz w:val="24"/>
            <w:szCs w:val="24"/>
            <w:lang w:val="en-US" w:eastAsia="en-US"/>
          </w:rPr>
          <w:t>my</w:t>
        </w:r>
        <w:r w:rsidRPr="0057322F">
          <w:rPr>
            <w:color w:val="000000"/>
            <w:sz w:val="24"/>
            <w:szCs w:val="24"/>
            <w:lang w:eastAsia="en-US"/>
          </w:rPr>
          <w:t>-</w:t>
        </w:r>
        <w:r w:rsidRPr="0057322F">
          <w:rPr>
            <w:color w:val="000000"/>
            <w:sz w:val="24"/>
            <w:szCs w:val="24"/>
            <w:lang w:val="en-US" w:eastAsia="en-US"/>
          </w:rPr>
          <w:t>evp</w:t>
        </w:r>
        <w:r w:rsidRPr="0057322F">
          <w:rPr>
            <w:color w:val="000000"/>
            <w:sz w:val="24"/>
            <w:szCs w:val="24"/>
            <w:lang w:eastAsia="en-US"/>
          </w:rPr>
          <w:t>.</w:t>
        </w:r>
        <w:r w:rsidRPr="0057322F">
          <w:rPr>
            <w:color w:val="000000"/>
            <w:sz w:val="24"/>
            <w:szCs w:val="24"/>
            <w:lang w:val="en-US" w:eastAsia="en-US"/>
          </w:rPr>
          <w:t>ru</w:t>
        </w:r>
      </w:hyperlink>
      <w:r w:rsidRPr="0057322F">
        <w:rPr>
          <w:color w:val="000000"/>
          <w:sz w:val="24"/>
          <w:szCs w:val="24"/>
          <w:lang w:eastAsia="en-US"/>
        </w:rPr>
        <w:t xml:space="preserve"> </w:t>
      </w:r>
      <w:r w:rsidRPr="0057322F">
        <w:rPr>
          <w:sz w:val="24"/>
          <w:szCs w:val="24"/>
          <w:lang w:eastAsia="en-US"/>
        </w:rPr>
        <w:t>в разделе Документы, подраздел - Документы городского совета</w:t>
      </w:r>
      <w:r w:rsidRPr="0057322F">
        <w:rPr>
          <w:sz w:val="24"/>
          <w:szCs w:val="24"/>
          <w:lang w:eastAsia="en-US"/>
        </w:rPr>
        <w:br/>
        <w:t>в информационно-телекоммуникационной сети общего польз</w:t>
      </w:r>
      <w:r>
        <w:rPr>
          <w:sz w:val="24"/>
          <w:szCs w:val="24"/>
          <w:lang w:eastAsia="en-US"/>
        </w:rPr>
        <w:t>ования и подлежит опубликованию</w:t>
      </w:r>
      <w:r>
        <w:rPr>
          <w:sz w:val="24"/>
          <w:szCs w:val="24"/>
          <w:lang w:eastAsia="en-US"/>
        </w:rPr>
        <w:br/>
      </w:r>
      <w:r w:rsidRPr="0057322F">
        <w:rPr>
          <w:sz w:val="24"/>
          <w:szCs w:val="24"/>
          <w:lang w:eastAsia="en-US"/>
        </w:rPr>
        <w:lastRenderedPageBreak/>
        <w:t>в газете муниципального образования городской округ Евпатория Республики Крым «Евпаторийская здравница».</w:t>
      </w:r>
    </w:p>
    <w:p w:rsidR="0057322F" w:rsidRPr="0057322F" w:rsidRDefault="0057322F" w:rsidP="0057322F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57322F">
        <w:rPr>
          <w:sz w:val="24"/>
          <w:szCs w:val="24"/>
          <w:lang w:eastAsia="en-US"/>
        </w:rPr>
        <w:t>3. Контроль за исполнением настоящего решения возложить на главу администрации города Евпатории Республики Крым Юрьева А.Ю.</w:t>
      </w: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 xml:space="preserve">Председатель </w:t>
      </w: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>Евпаторийского городского совета                                                                   Г.В. Герасимова</w:t>
      </w: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Pr="0057322F" w:rsidRDefault="0057322F" w:rsidP="0057322F">
      <w:pPr>
        <w:tabs>
          <w:tab w:val="left" w:pos="0"/>
        </w:tabs>
        <w:jc w:val="both"/>
        <w:rPr>
          <w:b/>
          <w:lang w:eastAsia="en-US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  <w:r w:rsidRPr="0057322F">
        <w:rPr>
          <w:sz w:val="24"/>
          <w:szCs w:val="24"/>
        </w:rPr>
        <w:lastRenderedPageBreak/>
        <w:t>Приложение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left="6237"/>
        <w:rPr>
          <w:sz w:val="24"/>
          <w:szCs w:val="24"/>
        </w:rPr>
      </w:pPr>
      <w:r w:rsidRPr="0057322F">
        <w:rPr>
          <w:sz w:val="24"/>
          <w:szCs w:val="24"/>
        </w:rPr>
        <w:t>к решению Евпаторийского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left="6237"/>
        <w:rPr>
          <w:sz w:val="24"/>
          <w:szCs w:val="24"/>
        </w:rPr>
      </w:pPr>
      <w:r w:rsidRPr="0057322F">
        <w:rPr>
          <w:sz w:val="24"/>
          <w:szCs w:val="24"/>
        </w:rPr>
        <w:t>городского совета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spacing w:after="600"/>
        <w:ind w:left="6237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от _____________ № __________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>Прогнозный план (программа) приватизации муниципального имущества, находящегося</w:t>
      </w:r>
      <w:r w:rsidR="00FE06C4">
        <w:rPr>
          <w:b/>
          <w:sz w:val="24"/>
          <w:szCs w:val="24"/>
        </w:rPr>
        <w:br/>
      </w:r>
      <w:r w:rsidRPr="0057322F">
        <w:rPr>
          <w:b/>
          <w:sz w:val="24"/>
          <w:szCs w:val="24"/>
        </w:rPr>
        <w:t xml:space="preserve">в собственности муниципального образования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 xml:space="preserve">городской округ Евпатория Республики Крым,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>на 2025 и на плановый период 2026 и 2027 годы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322F" w:rsidRDefault="0057322F" w:rsidP="00480B3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>Раздел I</w:t>
      </w:r>
    </w:p>
    <w:p w:rsidR="00480B33" w:rsidRPr="00480B33" w:rsidRDefault="00480B33" w:rsidP="00480B3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left="720"/>
        <w:jc w:val="center"/>
        <w:rPr>
          <w:b/>
          <w:i/>
          <w:sz w:val="24"/>
          <w:szCs w:val="24"/>
        </w:rPr>
      </w:pPr>
      <w:r w:rsidRPr="0057322F">
        <w:rPr>
          <w:b/>
          <w:i/>
          <w:sz w:val="24"/>
          <w:szCs w:val="24"/>
        </w:rPr>
        <w:t>Основные направления и задачи приватизации муниципального имущества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left="720"/>
        <w:jc w:val="both"/>
        <w:rPr>
          <w:b/>
          <w:i/>
          <w:sz w:val="24"/>
          <w:szCs w:val="24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 xml:space="preserve"> </w:t>
      </w:r>
      <w:r w:rsidRPr="0057322F">
        <w:rPr>
          <w:sz w:val="24"/>
          <w:szCs w:val="24"/>
        </w:rPr>
        <w:tab/>
        <w:t xml:space="preserve">1. Прогнозный план (программа) приватизации муниципального имущества,  находящегося в собственности муниципального образования городской округ Евпатория Республики Крым на 2025 и на плановый период 2026 и 2027 годы разработан в соответствии с Федеральными законами от 21.12.2001 № 178-ФЗ «О приватизации государственного </w:t>
      </w:r>
      <w:r w:rsidRPr="0057322F">
        <w:rPr>
          <w:sz w:val="24"/>
          <w:szCs w:val="24"/>
        </w:rPr>
        <w:br/>
        <w:t xml:space="preserve">и муниципального имущества» и от 22.07.2008 № 159-ФЗ «Об особенностях </w:t>
      </w:r>
      <w:r w:rsidRPr="0057322F">
        <w:rPr>
          <w:sz w:val="24"/>
          <w:szCs w:val="24"/>
        </w:rPr>
        <w:br/>
        <w:t xml:space="preserve">отчуждения недвижимого имущества, находящегося в собственности субъектов Российский Федерации или в муниципальной собственности и арендуемого субъектами малого </w:t>
      </w:r>
      <w:r w:rsidRPr="0057322F">
        <w:rPr>
          <w:sz w:val="24"/>
          <w:szCs w:val="24"/>
        </w:rPr>
        <w:br/>
        <w:t>и среднего предпринимательства», Федеральным законом от 27.12.2019 № 485-ФЗ</w:t>
      </w:r>
      <w:r w:rsidRPr="0057322F">
        <w:rPr>
          <w:sz w:val="24"/>
          <w:szCs w:val="24"/>
        </w:rPr>
        <w:br/>
        <w:t xml:space="preserve">«О внесении изменений в Федеральный закон «О государственных и муниципальных унитарных предприятиях» </w:t>
      </w:r>
      <w:r w:rsidRPr="0057322F">
        <w:rPr>
          <w:rFonts w:cs="Arial"/>
          <w:sz w:val="24"/>
          <w:szCs w:val="24"/>
        </w:rPr>
        <w:t>и Федеральный закон «О защите конкуренции»,</w:t>
      </w:r>
      <w:r w:rsidRPr="0057322F">
        <w:rPr>
          <w:color w:val="000000"/>
          <w:sz w:val="24"/>
          <w:szCs w:val="24"/>
        </w:rPr>
        <w:t xml:space="preserve"> исполнения Поручения Председателя Совета министров Республики Крым Ю.М. Гоцанюка от 09.11.2023 № 1/01-60/5538, а также с учетом рекомендаций Министерства экономического развития Республики Крым,</w:t>
      </w:r>
      <w:r w:rsidR="00FE06C4">
        <w:rPr>
          <w:sz w:val="24"/>
          <w:szCs w:val="24"/>
        </w:rPr>
        <w:br/>
      </w:r>
      <w:r w:rsidRPr="0057322F">
        <w:rPr>
          <w:sz w:val="24"/>
          <w:szCs w:val="24"/>
        </w:rPr>
        <w:t>с учетом Правил разработки прогнозных планов (программ</w:t>
      </w:r>
      <w:r w:rsidR="00FE06C4">
        <w:rPr>
          <w:sz w:val="24"/>
          <w:szCs w:val="24"/>
        </w:rPr>
        <w:t>) приватизации Государственного</w:t>
      </w:r>
      <w:r w:rsidR="00FE06C4">
        <w:rPr>
          <w:sz w:val="24"/>
          <w:szCs w:val="24"/>
        </w:rPr>
        <w:br/>
      </w:r>
      <w:r w:rsidRPr="0057322F">
        <w:rPr>
          <w:sz w:val="24"/>
          <w:szCs w:val="24"/>
        </w:rPr>
        <w:t>и муниципального имущества, утвержденных</w:t>
      </w:r>
      <w:r w:rsidRPr="0057322F">
        <w:rPr>
          <w:rFonts w:ascii="Arial" w:hAnsi="Arial" w:cs="Arial"/>
          <w:sz w:val="24"/>
          <w:szCs w:val="24"/>
        </w:rPr>
        <w:t xml:space="preserve"> </w:t>
      </w:r>
      <w:r w:rsidRPr="0057322F">
        <w:rPr>
          <w:sz w:val="24"/>
          <w:szCs w:val="24"/>
        </w:rPr>
        <w:t>постановлением правительства Российской Федерации от 26.12.2005 г № 806 (в редакции 2021 года).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2. Основными направлениями и задачами приват</w:t>
      </w:r>
      <w:r w:rsidR="00FE06C4">
        <w:rPr>
          <w:sz w:val="24"/>
          <w:szCs w:val="24"/>
        </w:rPr>
        <w:t>изации муниципального имущества</w:t>
      </w:r>
      <w:r w:rsidR="00FE06C4">
        <w:rPr>
          <w:sz w:val="24"/>
          <w:szCs w:val="24"/>
        </w:rPr>
        <w:br/>
      </w:r>
      <w:r w:rsidRPr="0057322F">
        <w:rPr>
          <w:sz w:val="24"/>
          <w:szCs w:val="24"/>
        </w:rPr>
        <w:t>на 2025 и на плановый период 2026 и 2027 годов являются: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1) повышение эффективности управления муниципальным имуществом;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2) обеспечение информационной прозрачности приватизации имущества;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3) обеспечение планомерности процесса приватизации, эффективное отчуждение имущества, находящегося в муниципальной собственности муниципального образования городской округ Евпатория Республики Крым, востребованного в коммерческом обороте;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4) оптимизация структуры имущества, находящегося в собственности муниципального образования городской округ Евпатория Республики Крым;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5) обеспечение требований Федерального законодательства в части приватизации муниципальных унитарных предприятий;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6) пополнение доходной части бюджета муниципального образования городской округ Евпатория Республики Крым.</w:t>
      </w:r>
    </w:p>
    <w:p w:rsidR="0057322F" w:rsidRPr="0057322F" w:rsidRDefault="00FE06C4" w:rsidP="005732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7322F" w:rsidRPr="0057322F">
        <w:rPr>
          <w:sz w:val="24"/>
          <w:szCs w:val="24"/>
        </w:rPr>
        <w:t xml:space="preserve">Приватизация муниципального имущества осуществляется способами, предусмотренными Федеральным законом от 21.12.2001 № 178-ФЗ «О приватизации государственного и муниципального имущества».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Приватизация муниципального имущества, переданного в аренду субъектам малого</w:t>
      </w:r>
      <w:r w:rsidRPr="0057322F">
        <w:rPr>
          <w:sz w:val="24"/>
          <w:szCs w:val="24"/>
        </w:rPr>
        <w:br/>
        <w:t>и среднего предпринимательства, осуществляется в соответствии с Федеральным законом</w:t>
      </w:r>
      <w:r w:rsidRPr="0057322F">
        <w:rPr>
          <w:sz w:val="24"/>
          <w:szCs w:val="24"/>
        </w:rPr>
        <w:br/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7322F" w:rsidRPr="0057322F" w:rsidRDefault="0057322F" w:rsidP="00FE06C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7322F">
        <w:rPr>
          <w:sz w:val="24"/>
          <w:szCs w:val="24"/>
        </w:rPr>
        <w:t>Приватизация муниципальных унитарных предприятий в рамках реализации Федерального закона от 27.12.2019 № 485-ФЗ «О внесении изменений в Федеральный закон</w:t>
      </w:r>
      <w:r w:rsidRPr="0057322F">
        <w:rPr>
          <w:sz w:val="24"/>
          <w:szCs w:val="24"/>
        </w:rPr>
        <w:br/>
      </w:r>
      <w:r w:rsidRPr="0057322F">
        <w:rPr>
          <w:sz w:val="24"/>
          <w:szCs w:val="24"/>
        </w:rPr>
        <w:lastRenderedPageBreak/>
        <w:t xml:space="preserve">«О государственных и муниципальных унитарных предприятиях» и Федеральный закон </w:t>
      </w:r>
      <w:r w:rsidRPr="0057322F">
        <w:rPr>
          <w:sz w:val="24"/>
          <w:szCs w:val="24"/>
        </w:rPr>
        <w:br/>
        <w:t xml:space="preserve">«О защите конкуренции», </w:t>
      </w:r>
      <w:r w:rsidRPr="0057322F">
        <w:rPr>
          <w:color w:val="000000"/>
          <w:sz w:val="24"/>
          <w:szCs w:val="24"/>
        </w:rPr>
        <w:t>исполнения Поручения Председателя Совета министров Республики Крым Ю.М. Гоцанюка от 09.11.2023 № 1/01-60/5538, а также с учетом рекомендаций Министерства экономического развития Республики Крым</w:t>
      </w:r>
      <w:r w:rsidRPr="0057322F">
        <w:rPr>
          <w:sz w:val="24"/>
          <w:szCs w:val="24"/>
        </w:rPr>
        <w:t xml:space="preserve"> в части реорганизации </w:t>
      </w:r>
      <w:r w:rsidR="00FE06C4">
        <w:rPr>
          <w:sz w:val="24"/>
          <w:szCs w:val="24"/>
        </w:rPr>
        <w:t>в 2025</w:t>
      </w:r>
      <w:r w:rsidRPr="0057322F">
        <w:rPr>
          <w:sz w:val="24"/>
          <w:szCs w:val="24"/>
        </w:rPr>
        <w:t xml:space="preserve"> год</w:t>
      </w:r>
      <w:r w:rsidR="00FE06C4">
        <w:rPr>
          <w:sz w:val="24"/>
          <w:szCs w:val="24"/>
        </w:rPr>
        <w:t>у</w:t>
      </w:r>
      <w:r w:rsidRPr="0057322F">
        <w:rPr>
          <w:sz w:val="24"/>
          <w:szCs w:val="24"/>
        </w:rPr>
        <w:t xml:space="preserve"> унитарных предприятий, осуществляющих деятельность на территории   городского округа Евпатория Республики Крым.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4. В 2025 и на плановый период 2026 и 2027 годов к приватизации предлагается имущество, находящее в собственности муниципального образования городской округ Евпатория Республики Крым, в виде:</w:t>
      </w:r>
    </w:p>
    <w:p w:rsidR="0057322F" w:rsidRPr="0057322F" w:rsidRDefault="0057322F" w:rsidP="0057322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7322F">
        <w:rPr>
          <w:rFonts w:eastAsia="Calibri"/>
          <w:sz w:val="24"/>
          <w:szCs w:val="24"/>
          <w:lang w:eastAsia="en-US"/>
        </w:rPr>
        <w:tab/>
        <w:t xml:space="preserve">1) муниципальные унитарные предприятия городского округ Евпатория Республики Крым, включенные в </w:t>
      </w:r>
      <w:r w:rsidRPr="0057322F">
        <w:rPr>
          <w:rFonts w:eastAsia="Calibri"/>
          <w:bCs/>
          <w:sz w:val="24"/>
          <w:szCs w:val="24"/>
          <w:lang w:eastAsia="en-US"/>
        </w:rPr>
        <w:t>План мероприятий по реформированию государственных унитарных (казенных) предприятий Республики Крым и муниципальных унитарных (казенных) предприятий муниципальных образований Республики Крым;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ab/>
        <w:t>2) объекты недвижимого имущества казны муниципального образования городской округ Евпатория Республики Крым.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ab/>
        <w:t>5. Приватизация муниципальных унитарных предприятий городского округ</w:t>
      </w:r>
      <w:r w:rsidR="00FE06C4">
        <w:rPr>
          <w:sz w:val="24"/>
          <w:szCs w:val="24"/>
        </w:rPr>
        <w:t>а</w:t>
      </w:r>
      <w:r w:rsidRPr="0057322F">
        <w:rPr>
          <w:sz w:val="24"/>
          <w:szCs w:val="24"/>
        </w:rPr>
        <w:t xml:space="preserve"> Евпатория Республики Крым будет осуществляться путем реорганизации в общества</w:t>
      </w:r>
      <w:r w:rsidR="00FE06C4">
        <w:rPr>
          <w:sz w:val="24"/>
          <w:szCs w:val="24"/>
        </w:rPr>
        <w:t xml:space="preserve"> с ограниченной ответственностью </w:t>
      </w:r>
      <w:r w:rsidRPr="0057322F">
        <w:rPr>
          <w:sz w:val="24"/>
          <w:szCs w:val="24"/>
        </w:rPr>
        <w:t>со 100% долей уставного капитала муниципального образования.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 xml:space="preserve">6. Цена продажи муниципального имущества, включенного в Прогнозный план, определяется на основании отчета об экспертной оценке, в соответствии с Федеральным законом от 29.07.1998 № 135-ФЗ «Об оценочной деятельности в Российской Федерации», </w:t>
      </w:r>
      <w:r w:rsidRPr="0057322F">
        <w:rPr>
          <w:sz w:val="24"/>
          <w:szCs w:val="24"/>
        </w:rPr>
        <w:br/>
        <w:t>с обязательным получением положительного экспертного заключения саморегулируемой организации оценщиков.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>7. В соответствии с прогнозным планом (программой) приватизации: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7322F">
        <w:rPr>
          <w:sz w:val="24"/>
          <w:szCs w:val="24"/>
        </w:rPr>
        <w:t xml:space="preserve">- </w:t>
      </w:r>
      <w:r w:rsidRPr="0057322F">
        <w:rPr>
          <w:rFonts w:cs="Arial"/>
          <w:sz w:val="24"/>
          <w:szCs w:val="24"/>
        </w:rPr>
        <w:t xml:space="preserve">в 2025 году запланирована приватизация </w:t>
      </w:r>
      <w:r w:rsidR="00AE757E">
        <w:rPr>
          <w:rFonts w:cs="Arial"/>
          <w:sz w:val="24"/>
          <w:szCs w:val="24"/>
        </w:rPr>
        <w:t>3</w:t>
      </w:r>
      <w:r w:rsidRPr="0057322F">
        <w:rPr>
          <w:rFonts w:cs="Arial"/>
          <w:sz w:val="24"/>
          <w:szCs w:val="24"/>
        </w:rPr>
        <w:t>-</w:t>
      </w:r>
      <w:r w:rsidR="00AE757E">
        <w:rPr>
          <w:rFonts w:cs="Arial"/>
          <w:sz w:val="24"/>
          <w:szCs w:val="24"/>
        </w:rPr>
        <w:t>х</w:t>
      </w:r>
      <w:r w:rsidRPr="0057322F">
        <w:rPr>
          <w:rFonts w:cs="Arial"/>
          <w:sz w:val="24"/>
          <w:szCs w:val="24"/>
        </w:rPr>
        <w:t xml:space="preserve"> имущественных комплексов муниципальных унитарных предприятий путем их преобразования в хозяйственные общества и отчуждение </w:t>
      </w:r>
      <w:r w:rsidR="00AE757E">
        <w:rPr>
          <w:rFonts w:cs="Arial"/>
          <w:sz w:val="24"/>
          <w:szCs w:val="24"/>
        </w:rPr>
        <w:t>6</w:t>
      </w:r>
      <w:r w:rsidRPr="0057322F">
        <w:rPr>
          <w:rFonts w:cs="Arial"/>
          <w:sz w:val="24"/>
          <w:szCs w:val="24"/>
        </w:rPr>
        <w:t xml:space="preserve">-и объектов недвижимости общей площадью </w:t>
      </w:r>
      <w:r w:rsidR="00AE757E">
        <w:rPr>
          <w:rFonts w:cs="Arial"/>
          <w:sz w:val="24"/>
          <w:szCs w:val="24"/>
        </w:rPr>
        <w:t>988,80</w:t>
      </w:r>
      <w:r w:rsidRPr="0057322F">
        <w:rPr>
          <w:rFonts w:cs="Arial"/>
          <w:sz w:val="24"/>
          <w:szCs w:val="24"/>
        </w:rPr>
        <w:t xml:space="preserve">   кв. м., в том числе 2-х объектов с земельными участками общей площадью 1 146,0 кв.м., при этом прогнозируемые поступления в бюджет муниципального</w:t>
      </w:r>
      <w:r w:rsidR="004A1409">
        <w:rPr>
          <w:rFonts w:cs="Arial"/>
          <w:sz w:val="24"/>
          <w:szCs w:val="24"/>
        </w:rPr>
        <w:t xml:space="preserve"> образования составят </w:t>
      </w:r>
      <w:r w:rsidR="004A1409" w:rsidRPr="00A2713F">
        <w:rPr>
          <w:sz w:val="24"/>
          <w:szCs w:val="24"/>
        </w:rPr>
        <w:t>24</w:t>
      </w:r>
      <w:r w:rsidR="004A1409">
        <w:rPr>
          <w:sz w:val="24"/>
          <w:szCs w:val="24"/>
        </w:rPr>
        <w:t> 868,476</w:t>
      </w:r>
      <w:r w:rsidRPr="0057322F">
        <w:rPr>
          <w:rFonts w:cs="Arial"/>
          <w:sz w:val="24"/>
          <w:szCs w:val="24"/>
        </w:rPr>
        <w:t xml:space="preserve"> тыс. руб.;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7322F">
        <w:rPr>
          <w:rFonts w:cs="Arial"/>
          <w:sz w:val="24"/>
          <w:szCs w:val="24"/>
        </w:rPr>
        <w:t xml:space="preserve">- в 2026 году запланировано отчуждение 1 объекта недвижимости общей площадью </w:t>
      </w:r>
      <w:r w:rsidRPr="0057322F">
        <w:rPr>
          <w:sz w:val="24"/>
          <w:szCs w:val="24"/>
        </w:rPr>
        <w:t xml:space="preserve">23,1 кв. м., при этом </w:t>
      </w:r>
      <w:r w:rsidRPr="0057322F">
        <w:rPr>
          <w:rFonts w:cs="Arial"/>
          <w:sz w:val="24"/>
          <w:szCs w:val="24"/>
        </w:rPr>
        <w:t xml:space="preserve">прогнозируемые поступления в бюджет муниципального образования составят </w:t>
      </w:r>
      <w:r w:rsidR="004A1409" w:rsidRPr="00A2713F">
        <w:rPr>
          <w:sz w:val="24"/>
          <w:szCs w:val="24"/>
        </w:rPr>
        <w:t>12</w:t>
      </w:r>
      <w:r w:rsidR="004A1409">
        <w:rPr>
          <w:sz w:val="24"/>
          <w:szCs w:val="24"/>
        </w:rPr>
        <w:t> 658,834</w:t>
      </w:r>
      <w:r w:rsidRPr="0057322F">
        <w:rPr>
          <w:rFonts w:cs="Arial"/>
          <w:sz w:val="24"/>
          <w:szCs w:val="24"/>
        </w:rPr>
        <w:t xml:space="preserve"> тыс. руб.;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57322F">
        <w:rPr>
          <w:rFonts w:cs="Arial"/>
          <w:sz w:val="24"/>
          <w:szCs w:val="24"/>
        </w:rPr>
        <w:t>- в 2027 году запланировано отчуждение 1 объекта недвижимости общей площадью 79,2</w:t>
      </w:r>
      <w:r w:rsidRPr="0057322F">
        <w:rPr>
          <w:sz w:val="24"/>
          <w:szCs w:val="24"/>
        </w:rPr>
        <w:t xml:space="preserve"> кв. м., при этом </w:t>
      </w:r>
      <w:r w:rsidRPr="0057322F">
        <w:rPr>
          <w:rFonts w:cs="Arial"/>
          <w:sz w:val="24"/>
          <w:szCs w:val="24"/>
        </w:rPr>
        <w:t xml:space="preserve">прогнозируемые поступления в бюджет муниципального образования составят </w:t>
      </w:r>
      <w:r w:rsidR="004A1409" w:rsidRPr="00A2713F">
        <w:rPr>
          <w:sz w:val="24"/>
          <w:szCs w:val="24"/>
        </w:rPr>
        <w:t>10</w:t>
      </w:r>
      <w:r w:rsidR="004A1409">
        <w:rPr>
          <w:sz w:val="24"/>
          <w:szCs w:val="24"/>
        </w:rPr>
        <w:t> 035,358</w:t>
      </w:r>
      <w:r w:rsidRPr="0057322F">
        <w:rPr>
          <w:rFonts w:cs="Arial"/>
          <w:sz w:val="24"/>
          <w:szCs w:val="24"/>
        </w:rPr>
        <w:t xml:space="preserve"> тыс. руб. 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7322F">
        <w:rPr>
          <w:sz w:val="24"/>
          <w:szCs w:val="24"/>
        </w:rPr>
        <w:t xml:space="preserve">8. В Прогнозный план приватизации на протяжении всего срока его действия могут включаться дополнительные объекты, подлежащие приватизации в 2025-2027 годах, </w:t>
      </w:r>
      <w:r w:rsidRPr="0057322F">
        <w:rPr>
          <w:sz w:val="24"/>
          <w:szCs w:val="24"/>
        </w:rPr>
        <w:br/>
        <w:t>а также вноситься иные изменения.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7322F" w:rsidRPr="00C46C57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 xml:space="preserve">Раздел </w:t>
      </w:r>
      <w:r w:rsidRPr="0057322F">
        <w:rPr>
          <w:b/>
          <w:sz w:val="24"/>
          <w:szCs w:val="24"/>
          <w:lang w:val="en-US"/>
        </w:rPr>
        <w:t>II</w:t>
      </w:r>
    </w:p>
    <w:p w:rsidR="00480B33" w:rsidRPr="0057322F" w:rsidRDefault="00480B33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  <w:r w:rsidRPr="0057322F">
        <w:rPr>
          <w:b/>
          <w:i/>
          <w:sz w:val="24"/>
          <w:szCs w:val="24"/>
          <w:lang w:eastAsia="en-US"/>
        </w:rPr>
        <w:t>1. Перечень муниципальных унитарных предприятий городского округ Евпатория Республики Крым, приватизация которых планируется в 2025 году,</w:t>
      </w: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  <w:r w:rsidRPr="0057322F">
        <w:rPr>
          <w:b/>
          <w:i/>
          <w:sz w:val="24"/>
          <w:szCs w:val="24"/>
          <w:lang w:eastAsia="en-US"/>
        </w:rPr>
        <w:t>путем преобразования в хозяйственные общества</w:t>
      </w:r>
    </w:p>
    <w:p w:rsidR="0057322F" w:rsidRDefault="0057322F" w:rsidP="0057322F">
      <w:pPr>
        <w:contextualSpacing/>
        <w:jc w:val="center"/>
        <w:rPr>
          <w:sz w:val="24"/>
          <w:szCs w:val="24"/>
          <w:lang w:eastAsia="en-US"/>
        </w:rPr>
      </w:pPr>
    </w:p>
    <w:p w:rsidR="00480B33" w:rsidRPr="0057322F" w:rsidRDefault="00480B33" w:rsidP="0057322F">
      <w:pPr>
        <w:contextualSpacing/>
        <w:jc w:val="center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30"/>
        <w:gridCol w:w="2855"/>
        <w:gridCol w:w="1553"/>
        <w:gridCol w:w="2129"/>
      </w:tblGrid>
      <w:tr w:rsidR="0057322F" w:rsidRPr="0057322F" w:rsidTr="007B1FCB">
        <w:tc>
          <w:tcPr>
            <w:tcW w:w="561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муниципального унитарного предприятия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Местонахождения/адрес муниципального унитарного предприятия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Балансовая стоимость основных средств на 01.01.2025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(тыс.руб.)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Среднесписочная численность работников на 01.01.2025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(чел.)</w:t>
            </w:r>
          </w:p>
        </w:tc>
      </w:tr>
      <w:tr w:rsidR="0057322F" w:rsidRPr="0057322F" w:rsidTr="007B1FCB">
        <w:tc>
          <w:tcPr>
            <w:tcW w:w="561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7322F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7322F" w:rsidRPr="0057322F" w:rsidTr="007B1FCB">
        <w:tc>
          <w:tcPr>
            <w:tcW w:w="561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1*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7322F" w:rsidRPr="0057322F" w:rsidRDefault="0057322F" w:rsidP="0057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Муниципальное унитарное </w:t>
            </w:r>
            <w:r w:rsidRPr="0057322F"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предприятие «Межхозяйственное объединение «Комбинат благоустройства»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Республика Крым,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г. Евпатория,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ул. Кирова,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д. 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lastRenderedPageBreak/>
              <w:t>73 365,56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68</w:t>
            </w:r>
          </w:p>
        </w:tc>
      </w:tr>
      <w:tr w:rsidR="0057322F" w:rsidRPr="0057322F" w:rsidTr="007B1FCB">
        <w:tc>
          <w:tcPr>
            <w:tcW w:w="561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2*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7322F" w:rsidRPr="0057322F" w:rsidRDefault="0057322F" w:rsidP="0057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color w:val="000000"/>
                <w:sz w:val="23"/>
                <w:szCs w:val="23"/>
                <w:lang w:eastAsia="en-US"/>
              </w:rPr>
              <w:t>Муниципальное унитарное предприятие «МИР»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Республика Крым,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пгт. Мирный,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ул. Школьная,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д. 14а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20 326,17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44</w:t>
            </w:r>
          </w:p>
        </w:tc>
      </w:tr>
      <w:tr w:rsidR="0057322F" w:rsidRPr="0057322F" w:rsidTr="007B1FCB">
        <w:tc>
          <w:tcPr>
            <w:tcW w:w="561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3*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7322F" w:rsidRPr="0057322F" w:rsidRDefault="0057322F" w:rsidP="0057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color w:val="000000"/>
                <w:sz w:val="23"/>
                <w:szCs w:val="23"/>
                <w:lang w:eastAsia="en-US"/>
              </w:rPr>
              <w:t>Муниципальное унитарное предприятие «УПРАВКОМ «УЮТ»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Республика Крым,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 xml:space="preserve">ул. Л. Толстого, </w:t>
            </w:r>
          </w:p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д. 75/2 лит. «А»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72 322,997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7322F">
              <w:rPr>
                <w:rFonts w:eastAsia="Calibri"/>
                <w:sz w:val="23"/>
                <w:szCs w:val="23"/>
                <w:lang w:eastAsia="en-US"/>
              </w:rPr>
              <w:t>93</w:t>
            </w:r>
          </w:p>
        </w:tc>
      </w:tr>
    </w:tbl>
    <w:p w:rsidR="0057322F" w:rsidRPr="0057322F" w:rsidRDefault="0057322F" w:rsidP="0057322F">
      <w:pPr>
        <w:contextualSpacing/>
        <w:jc w:val="center"/>
        <w:rPr>
          <w:sz w:val="24"/>
          <w:szCs w:val="24"/>
          <w:lang w:eastAsia="en-US"/>
        </w:rPr>
      </w:pPr>
    </w:p>
    <w:p w:rsidR="0057322F" w:rsidRDefault="0057322F" w:rsidP="005732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322F">
        <w:rPr>
          <w:sz w:val="24"/>
          <w:szCs w:val="24"/>
        </w:rPr>
        <w:t>* - объект был включен в прогнозный план (программу) приватизации на 2024 год</w:t>
      </w:r>
    </w:p>
    <w:p w:rsidR="00480B33" w:rsidRPr="0057322F" w:rsidRDefault="00480B33" w:rsidP="0057322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  <w:lang w:eastAsia="x-none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i/>
          <w:sz w:val="24"/>
          <w:szCs w:val="24"/>
          <w:lang w:eastAsia="x-none"/>
        </w:rPr>
        <w:t xml:space="preserve">2. Объекты </w:t>
      </w:r>
      <w:r w:rsidRPr="0057322F">
        <w:rPr>
          <w:b/>
          <w:i/>
          <w:sz w:val="24"/>
          <w:szCs w:val="24"/>
        </w:rPr>
        <w:t>недвижимого имущества</w:t>
      </w:r>
      <w:r w:rsidRPr="0057322F">
        <w:rPr>
          <w:b/>
          <w:i/>
          <w:sz w:val="24"/>
          <w:szCs w:val="24"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  <w:r w:rsidRPr="0057322F">
        <w:rPr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 w:rsidRPr="0057322F">
        <w:rPr>
          <w:b/>
          <w:i/>
          <w:sz w:val="24"/>
          <w:szCs w:val="24"/>
          <w:lang w:eastAsia="en-US"/>
        </w:rPr>
        <w:t>2025 году</w:t>
      </w:r>
    </w:p>
    <w:p w:rsid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p w:rsidR="00480B33" w:rsidRPr="0057322F" w:rsidRDefault="00480B33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7322F" w:rsidRPr="0057322F" w:rsidRDefault="0057322F" w:rsidP="0057322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Срок приватизации</w:t>
            </w:r>
          </w:p>
        </w:tc>
      </w:tr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помещение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90:18:010115:251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t xml:space="preserve">Республика Крым,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</w:rPr>
              <w:t>ул. Революции, д. 59, пом.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помещение первого этажа, общей площадью 32,2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  <w:lang w:val="en-US"/>
              </w:rPr>
            </w:pPr>
            <w:r w:rsidRPr="0057322F">
              <w:rPr>
                <w:sz w:val="24"/>
                <w:szCs w:val="24"/>
              </w:rPr>
              <w:t>1 квартал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здание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90:18:020107:595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земельный участок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color w:val="000000"/>
                <w:sz w:val="24"/>
                <w:szCs w:val="24"/>
              </w:rPr>
            </w:pPr>
            <w:r w:rsidRPr="0057322F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color w:val="000000"/>
                <w:sz w:val="24"/>
                <w:szCs w:val="24"/>
              </w:rPr>
            </w:pPr>
            <w:r w:rsidRPr="0057322F">
              <w:rPr>
                <w:color w:val="000000"/>
                <w:sz w:val="24"/>
                <w:szCs w:val="24"/>
              </w:rPr>
              <w:t>90:18:020109:1776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Республика Крым, г. Евпатория,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пгт. Заозерное,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ул. Гайдара, д. 55в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здание, общей площадью 25,1 кв.м.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земельный участок, общей площадью 380+/-7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1 квартал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здание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90:18:010135:1940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земельный участок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90:18:010135:5759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Республика Крым,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ar-SA"/>
              </w:rPr>
              <w:t>ул. Перекопская, д. 5/2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Нежилое здание, общей площадью 389,0 кв.м.</w:t>
            </w:r>
          </w:p>
          <w:p w:rsidR="00480B33" w:rsidRDefault="00480B33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</w:p>
          <w:p w:rsidR="00480B33" w:rsidRPr="00480B33" w:rsidRDefault="00480B33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Объект культурного наследия регионального значения «Торговые ряды В. Каракоза, </w:t>
            </w:r>
            <w:r>
              <w:rPr>
                <w:sz w:val="24"/>
                <w:szCs w:val="24"/>
                <w:lang w:val="en-US" w:eastAsia="ar-SA"/>
              </w:rPr>
              <w:t>XIX</w:t>
            </w:r>
            <w:r>
              <w:rPr>
                <w:sz w:val="24"/>
                <w:szCs w:val="24"/>
                <w:lang w:eastAsia="ar-SA"/>
              </w:rPr>
              <w:t>век»</w:t>
            </w:r>
          </w:p>
          <w:p w:rsidR="0057322F" w:rsidRPr="0057322F" w:rsidRDefault="0057322F" w:rsidP="00480B33">
            <w:pPr>
              <w:widowControl w:val="0"/>
              <w:autoSpaceDE w:val="0"/>
              <w:autoSpaceDN w:val="0"/>
              <w:adjustRightInd w:val="0"/>
              <w:ind w:right="140"/>
              <w:rPr>
                <w:sz w:val="24"/>
                <w:szCs w:val="24"/>
                <w:lang w:eastAsia="ar-SA"/>
              </w:rPr>
            </w:pP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  <w:lang w:eastAsia="ar-SA"/>
              </w:rPr>
              <w:t>земельный участок, общей площадью 766,0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1 квартал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AE757E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57322F" w:rsidRPr="005732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Нежилые помещения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90:18:010135:6902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Республика Крым,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ar-SA"/>
              </w:rPr>
              <w:t>ул. Эскадронная, д.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  <w:lang w:eastAsia="ar-SA"/>
              </w:rPr>
              <w:t>Нежилые помещения первого и второго этажа, общей площадью 288,7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2 квартал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AE757E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57322F" w:rsidRPr="005732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Нежилое помещение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90:18:010135:1678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  <w:lang w:eastAsia="ar-SA"/>
              </w:rPr>
              <w:t>Республика Крым, г. Евпатория, туп. Матвеева, д. 10/17, пом.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Нежилое помещение первого этажа, общей площадью 175,7 кв.м.</w:t>
            </w:r>
          </w:p>
          <w:p w:rsidR="00480B33" w:rsidRDefault="00480B33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</w:p>
          <w:p w:rsidR="00480B33" w:rsidRPr="0057322F" w:rsidRDefault="00480B33" w:rsidP="00480B33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Объект культурного наследия регионального значения «Дом-магазин И.П. Синани, 1902 год»</w:t>
            </w:r>
          </w:p>
          <w:p w:rsidR="00480B33" w:rsidRPr="0057322F" w:rsidRDefault="00480B33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2 квартал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AE757E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57322F" w:rsidRPr="005732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Нежилые помещения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90:18:010127:647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t xml:space="preserve">Республика Крым,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г. Евпатория,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0" w:right="138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 xml:space="preserve">пр. Победы, д. 25, помещение </w:t>
            </w:r>
            <w:r w:rsidRPr="0057322F">
              <w:rPr>
                <w:sz w:val="24"/>
                <w:szCs w:val="24"/>
                <w:lang w:val="en-US"/>
              </w:rPr>
              <w:t>I</w:t>
            </w:r>
            <w:r w:rsidRPr="0057322F">
              <w:rPr>
                <w:sz w:val="24"/>
                <w:szCs w:val="24"/>
              </w:rPr>
              <w:t>-</w:t>
            </w:r>
            <w:r w:rsidRPr="0057322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Нежилое подвальное помещение в лит. «А»,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общей площадью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78,1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3 квартал</w:t>
            </w:r>
          </w:p>
        </w:tc>
      </w:tr>
    </w:tbl>
    <w:p w:rsidR="0057322F" w:rsidRDefault="0057322F" w:rsidP="0057322F">
      <w:pPr>
        <w:ind w:left="-426"/>
        <w:jc w:val="both"/>
        <w:rPr>
          <w:lang w:eastAsia="en-US"/>
        </w:rPr>
      </w:pPr>
      <w:r w:rsidRPr="0057322F">
        <w:rPr>
          <w:lang w:eastAsia="en-US"/>
        </w:rPr>
        <w:t xml:space="preserve">  </w:t>
      </w:r>
    </w:p>
    <w:p w:rsidR="00480B33" w:rsidRPr="0057322F" w:rsidRDefault="00480B33" w:rsidP="0057322F">
      <w:pPr>
        <w:ind w:left="-426"/>
        <w:jc w:val="both"/>
        <w:rPr>
          <w:b/>
          <w:lang w:eastAsia="en-US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sz w:val="24"/>
          <w:szCs w:val="24"/>
        </w:rPr>
        <w:t xml:space="preserve">Раздел </w:t>
      </w:r>
      <w:r w:rsidRPr="0057322F">
        <w:rPr>
          <w:b/>
          <w:sz w:val="24"/>
          <w:szCs w:val="24"/>
          <w:lang w:val="en-US"/>
        </w:rPr>
        <w:t>III</w:t>
      </w: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i/>
          <w:sz w:val="24"/>
          <w:szCs w:val="24"/>
          <w:lang w:eastAsia="x-none"/>
        </w:rPr>
        <w:t xml:space="preserve">1. Объекты </w:t>
      </w:r>
      <w:r w:rsidRPr="0057322F">
        <w:rPr>
          <w:b/>
          <w:i/>
          <w:sz w:val="24"/>
          <w:szCs w:val="24"/>
        </w:rPr>
        <w:t>недвижимого имущества</w:t>
      </w:r>
      <w:r w:rsidRPr="0057322F">
        <w:rPr>
          <w:b/>
          <w:i/>
          <w:sz w:val="24"/>
          <w:szCs w:val="24"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  <w:r w:rsidRPr="0057322F">
        <w:rPr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 w:rsidRPr="0057322F">
        <w:rPr>
          <w:b/>
          <w:i/>
          <w:sz w:val="24"/>
          <w:szCs w:val="24"/>
          <w:lang w:eastAsia="en-US"/>
        </w:rPr>
        <w:t>2026 году</w:t>
      </w:r>
    </w:p>
    <w:p w:rsid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p w:rsidR="00480B33" w:rsidRPr="0057322F" w:rsidRDefault="00480B33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7322F" w:rsidRPr="0057322F" w:rsidRDefault="0057322F" w:rsidP="0057322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Срок приватизации</w:t>
            </w:r>
          </w:p>
        </w:tc>
      </w:tr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Нежилое помещение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90:18:010134:4511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ar-SA"/>
              </w:rPr>
              <w:t>Республика Крым, г. Евпатория, ул. Караева, д. 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Нежилое помещение, общей площадью 23,1 кв.м.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2 квартал</w:t>
            </w:r>
          </w:p>
        </w:tc>
      </w:tr>
    </w:tbl>
    <w:p w:rsidR="00480B33" w:rsidRDefault="00480B33" w:rsidP="00480B3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480B33" w:rsidRPr="0057322F" w:rsidRDefault="00480B33" w:rsidP="00480B3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en-US"/>
        </w:rPr>
      </w:pPr>
      <w:r w:rsidRPr="0057322F">
        <w:rPr>
          <w:b/>
          <w:sz w:val="24"/>
          <w:szCs w:val="24"/>
        </w:rPr>
        <w:t xml:space="preserve">Раздел </w:t>
      </w:r>
      <w:r w:rsidRPr="0057322F">
        <w:rPr>
          <w:b/>
          <w:sz w:val="24"/>
          <w:szCs w:val="24"/>
          <w:lang w:val="en-US"/>
        </w:rPr>
        <w:t>IV</w:t>
      </w:r>
    </w:p>
    <w:p w:rsidR="00480B33" w:rsidRPr="0057322F" w:rsidRDefault="00480B33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7322F">
        <w:rPr>
          <w:b/>
          <w:i/>
          <w:sz w:val="24"/>
          <w:szCs w:val="24"/>
          <w:lang w:eastAsia="x-none"/>
        </w:rPr>
        <w:t xml:space="preserve">1. Объекты </w:t>
      </w:r>
      <w:r w:rsidRPr="0057322F">
        <w:rPr>
          <w:b/>
          <w:i/>
          <w:sz w:val="24"/>
          <w:szCs w:val="24"/>
        </w:rPr>
        <w:t>недвижимого имущества</w:t>
      </w:r>
      <w:r w:rsidRPr="0057322F">
        <w:rPr>
          <w:b/>
          <w:i/>
          <w:sz w:val="24"/>
          <w:szCs w:val="24"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  <w:r w:rsidRPr="0057322F">
        <w:rPr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 w:rsidRPr="0057322F">
        <w:rPr>
          <w:b/>
          <w:i/>
          <w:sz w:val="24"/>
          <w:szCs w:val="24"/>
          <w:lang w:eastAsia="en-US"/>
        </w:rPr>
        <w:t>2027 году</w:t>
      </w:r>
    </w:p>
    <w:p w:rsidR="00480B33" w:rsidRPr="0057322F" w:rsidRDefault="00480B33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7322F" w:rsidRPr="0057322F" w:rsidRDefault="0057322F" w:rsidP="0057322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Срок приватизации</w:t>
            </w:r>
          </w:p>
        </w:tc>
      </w:tr>
      <w:tr w:rsidR="0057322F" w:rsidRPr="0057322F" w:rsidTr="007B1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tabs>
                <w:tab w:val="left" w:pos="993"/>
              </w:tabs>
              <w:autoSpaceDN w:val="0"/>
              <w:spacing w:after="160" w:line="256" w:lineRule="auto"/>
              <w:ind w:left="142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7322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37" w:right="142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57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322F">
              <w:rPr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57322F" w:rsidRPr="0057322F" w:rsidTr="007B1FCB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2" w:right="147" w:hanging="5"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Нежилое помещение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Кадастровый номер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6" w:right="135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90:18:010147:7464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Республика Крым,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>г. Евпатория,</w:t>
            </w:r>
          </w:p>
          <w:p w:rsidR="0057322F" w:rsidRPr="0057322F" w:rsidRDefault="0057322F" w:rsidP="0057322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7322F">
              <w:rPr>
                <w:sz w:val="24"/>
                <w:szCs w:val="24"/>
                <w:lang w:eastAsia="ar-SA"/>
              </w:rPr>
              <w:t>ул. Чапаева, д.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  <w:lang w:eastAsia="ar-SA"/>
              </w:rPr>
            </w:pPr>
            <w:r w:rsidRPr="0057322F">
              <w:rPr>
                <w:sz w:val="24"/>
                <w:szCs w:val="24"/>
                <w:lang w:eastAsia="ar-SA"/>
              </w:rPr>
              <w:t xml:space="preserve">Нежилое помещение подвального этажа, общей площадью 79,2 кв.м. </w:t>
            </w:r>
          </w:p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5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2F" w:rsidRPr="0057322F" w:rsidRDefault="0057322F" w:rsidP="0057322F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4"/>
                <w:szCs w:val="24"/>
              </w:rPr>
            </w:pPr>
            <w:r w:rsidRPr="0057322F">
              <w:rPr>
                <w:sz w:val="24"/>
                <w:szCs w:val="24"/>
              </w:rPr>
              <w:t>2 квартал</w:t>
            </w:r>
          </w:p>
        </w:tc>
      </w:tr>
    </w:tbl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p w:rsidR="0057322F" w:rsidRPr="0057322F" w:rsidRDefault="0057322F" w:rsidP="0057322F">
      <w:pPr>
        <w:contextualSpacing/>
        <w:jc w:val="center"/>
        <w:rPr>
          <w:b/>
          <w:i/>
          <w:sz w:val="24"/>
          <w:szCs w:val="24"/>
          <w:lang w:eastAsia="en-US"/>
        </w:rPr>
      </w:pPr>
    </w:p>
    <w:p w:rsidR="0057322F" w:rsidRPr="0057322F" w:rsidRDefault="0057322F" w:rsidP="0057322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F5063" w:rsidRDefault="00DF5063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DF5063" w:rsidRDefault="00DF5063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DF5063" w:rsidRDefault="00DF5063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DF5063" w:rsidRDefault="00DF5063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57322F" w:rsidRDefault="0057322F" w:rsidP="00C55B82">
      <w:pPr>
        <w:pStyle w:val="Style3"/>
        <w:widowControl/>
        <w:jc w:val="center"/>
        <w:rPr>
          <w:b/>
          <w:sz w:val="23"/>
          <w:szCs w:val="23"/>
        </w:rPr>
      </w:pPr>
    </w:p>
    <w:p w:rsidR="009E7A24" w:rsidRDefault="009E7A24" w:rsidP="0057322F">
      <w:pPr>
        <w:pStyle w:val="Style3"/>
        <w:widowControl/>
        <w:spacing w:line="298" w:lineRule="exact"/>
        <w:jc w:val="center"/>
        <w:rPr>
          <w:b/>
        </w:rPr>
      </w:pPr>
      <w:bookmarkStart w:id="0" w:name="_GoBack"/>
      <w:bookmarkEnd w:id="0"/>
    </w:p>
    <w:sectPr w:rsidR="009E7A24" w:rsidSect="003D4426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76" w:rsidRDefault="008F5676" w:rsidP="00590C4E">
      <w:r>
        <w:separator/>
      </w:r>
    </w:p>
  </w:endnote>
  <w:endnote w:type="continuationSeparator" w:id="0">
    <w:p w:rsidR="008F5676" w:rsidRDefault="008F5676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76" w:rsidRDefault="008F5676" w:rsidP="00590C4E">
      <w:r>
        <w:separator/>
      </w:r>
    </w:p>
  </w:footnote>
  <w:footnote w:type="continuationSeparator" w:id="0">
    <w:p w:rsidR="008F5676" w:rsidRDefault="008F5676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82"/>
    <w:rsid w:val="0000201C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7C44"/>
    <w:rsid w:val="00094E02"/>
    <w:rsid w:val="000A0511"/>
    <w:rsid w:val="000B1CCA"/>
    <w:rsid w:val="000C0535"/>
    <w:rsid w:val="000C2A38"/>
    <w:rsid w:val="000C5DD3"/>
    <w:rsid w:val="000D1A20"/>
    <w:rsid w:val="000D4290"/>
    <w:rsid w:val="000D5163"/>
    <w:rsid w:val="000D6E64"/>
    <w:rsid w:val="000F6ED7"/>
    <w:rsid w:val="001031B2"/>
    <w:rsid w:val="00104BF2"/>
    <w:rsid w:val="00127740"/>
    <w:rsid w:val="0013278F"/>
    <w:rsid w:val="00133669"/>
    <w:rsid w:val="001355EB"/>
    <w:rsid w:val="00137230"/>
    <w:rsid w:val="00152A18"/>
    <w:rsid w:val="0015356C"/>
    <w:rsid w:val="00160045"/>
    <w:rsid w:val="00162121"/>
    <w:rsid w:val="00172DAE"/>
    <w:rsid w:val="00175356"/>
    <w:rsid w:val="001856E6"/>
    <w:rsid w:val="00187AF2"/>
    <w:rsid w:val="001B031D"/>
    <w:rsid w:val="001C4C6D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9F"/>
    <w:rsid w:val="002423EB"/>
    <w:rsid w:val="00251410"/>
    <w:rsid w:val="002541AF"/>
    <w:rsid w:val="002840E1"/>
    <w:rsid w:val="00287C4D"/>
    <w:rsid w:val="002A0E2B"/>
    <w:rsid w:val="002A493A"/>
    <w:rsid w:val="002A5B5F"/>
    <w:rsid w:val="002B5C5E"/>
    <w:rsid w:val="002C1E39"/>
    <w:rsid w:val="002C56CF"/>
    <w:rsid w:val="002E581B"/>
    <w:rsid w:val="003044C2"/>
    <w:rsid w:val="00311B49"/>
    <w:rsid w:val="003132D1"/>
    <w:rsid w:val="00323013"/>
    <w:rsid w:val="00337422"/>
    <w:rsid w:val="00356C0E"/>
    <w:rsid w:val="00362C68"/>
    <w:rsid w:val="00364B25"/>
    <w:rsid w:val="00364FA7"/>
    <w:rsid w:val="00367873"/>
    <w:rsid w:val="00395E1E"/>
    <w:rsid w:val="00396C31"/>
    <w:rsid w:val="003D4426"/>
    <w:rsid w:val="003D4E72"/>
    <w:rsid w:val="003F2830"/>
    <w:rsid w:val="0041215A"/>
    <w:rsid w:val="00420018"/>
    <w:rsid w:val="00422394"/>
    <w:rsid w:val="00430467"/>
    <w:rsid w:val="00434EE0"/>
    <w:rsid w:val="00455CC5"/>
    <w:rsid w:val="004740A8"/>
    <w:rsid w:val="0047538F"/>
    <w:rsid w:val="0047614C"/>
    <w:rsid w:val="00480B33"/>
    <w:rsid w:val="00483778"/>
    <w:rsid w:val="004A1409"/>
    <w:rsid w:val="004A3F39"/>
    <w:rsid w:val="004A61D5"/>
    <w:rsid w:val="004B7BFD"/>
    <w:rsid w:val="004E52A7"/>
    <w:rsid w:val="004F23BC"/>
    <w:rsid w:val="004F6B6C"/>
    <w:rsid w:val="00500DB3"/>
    <w:rsid w:val="0050689E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72A41"/>
    <w:rsid w:val="0057322F"/>
    <w:rsid w:val="0058615F"/>
    <w:rsid w:val="005870EE"/>
    <w:rsid w:val="00590C4E"/>
    <w:rsid w:val="005A42D2"/>
    <w:rsid w:val="005B2F96"/>
    <w:rsid w:val="005C3526"/>
    <w:rsid w:val="005D288D"/>
    <w:rsid w:val="005D4394"/>
    <w:rsid w:val="005D762A"/>
    <w:rsid w:val="005E6DF8"/>
    <w:rsid w:val="005F0676"/>
    <w:rsid w:val="006005B0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7FEA"/>
    <w:rsid w:val="006B38BE"/>
    <w:rsid w:val="006C5205"/>
    <w:rsid w:val="006D02C2"/>
    <w:rsid w:val="006D216B"/>
    <w:rsid w:val="006E2798"/>
    <w:rsid w:val="006E4506"/>
    <w:rsid w:val="00722A9F"/>
    <w:rsid w:val="00723FFF"/>
    <w:rsid w:val="007271F3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25E01"/>
    <w:rsid w:val="00840D7C"/>
    <w:rsid w:val="008B759D"/>
    <w:rsid w:val="008B7640"/>
    <w:rsid w:val="008C68EA"/>
    <w:rsid w:val="008D03D5"/>
    <w:rsid w:val="008E52CC"/>
    <w:rsid w:val="008F09E1"/>
    <w:rsid w:val="008F5676"/>
    <w:rsid w:val="008F6874"/>
    <w:rsid w:val="00901310"/>
    <w:rsid w:val="00912A07"/>
    <w:rsid w:val="00927DFE"/>
    <w:rsid w:val="009312B7"/>
    <w:rsid w:val="00931505"/>
    <w:rsid w:val="00941AFF"/>
    <w:rsid w:val="00953401"/>
    <w:rsid w:val="009539F7"/>
    <w:rsid w:val="00964F42"/>
    <w:rsid w:val="00965CA3"/>
    <w:rsid w:val="00966381"/>
    <w:rsid w:val="00972854"/>
    <w:rsid w:val="009842EF"/>
    <w:rsid w:val="0098543A"/>
    <w:rsid w:val="00985ED8"/>
    <w:rsid w:val="009A55B6"/>
    <w:rsid w:val="009C1879"/>
    <w:rsid w:val="009C767D"/>
    <w:rsid w:val="009D39D0"/>
    <w:rsid w:val="009E2994"/>
    <w:rsid w:val="009E7A24"/>
    <w:rsid w:val="009F6B43"/>
    <w:rsid w:val="009F7455"/>
    <w:rsid w:val="00A05109"/>
    <w:rsid w:val="00A12BCA"/>
    <w:rsid w:val="00A1482C"/>
    <w:rsid w:val="00A1509E"/>
    <w:rsid w:val="00A21917"/>
    <w:rsid w:val="00A23A27"/>
    <w:rsid w:val="00A32412"/>
    <w:rsid w:val="00A32BEF"/>
    <w:rsid w:val="00A5282E"/>
    <w:rsid w:val="00A6768B"/>
    <w:rsid w:val="00A67D2F"/>
    <w:rsid w:val="00A72586"/>
    <w:rsid w:val="00A74404"/>
    <w:rsid w:val="00A76304"/>
    <w:rsid w:val="00A77B49"/>
    <w:rsid w:val="00A8325A"/>
    <w:rsid w:val="00A921DD"/>
    <w:rsid w:val="00A92B0B"/>
    <w:rsid w:val="00A94366"/>
    <w:rsid w:val="00AC71EF"/>
    <w:rsid w:val="00AD2AD9"/>
    <w:rsid w:val="00AE01B3"/>
    <w:rsid w:val="00AE757E"/>
    <w:rsid w:val="00AF1646"/>
    <w:rsid w:val="00B00F47"/>
    <w:rsid w:val="00B07AE5"/>
    <w:rsid w:val="00B15B04"/>
    <w:rsid w:val="00B24A7D"/>
    <w:rsid w:val="00B26B8A"/>
    <w:rsid w:val="00B343E4"/>
    <w:rsid w:val="00B523F9"/>
    <w:rsid w:val="00B73B28"/>
    <w:rsid w:val="00B9021C"/>
    <w:rsid w:val="00B91887"/>
    <w:rsid w:val="00B91C8D"/>
    <w:rsid w:val="00BB43E3"/>
    <w:rsid w:val="00BB4D95"/>
    <w:rsid w:val="00BB6799"/>
    <w:rsid w:val="00BD08FB"/>
    <w:rsid w:val="00BD2192"/>
    <w:rsid w:val="00BD2DEF"/>
    <w:rsid w:val="00BD4CCA"/>
    <w:rsid w:val="00BE14C8"/>
    <w:rsid w:val="00BE70F9"/>
    <w:rsid w:val="00BF0C8C"/>
    <w:rsid w:val="00BF2653"/>
    <w:rsid w:val="00BF48A8"/>
    <w:rsid w:val="00BF664F"/>
    <w:rsid w:val="00BF6F56"/>
    <w:rsid w:val="00C01F3F"/>
    <w:rsid w:val="00C07185"/>
    <w:rsid w:val="00C24659"/>
    <w:rsid w:val="00C26B06"/>
    <w:rsid w:val="00C42591"/>
    <w:rsid w:val="00C46C57"/>
    <w:rsid w:val="00C542F5"/>
    <w:rsid w:val="00C55613"/>
    <w:rsid w:val="00C55B82"/>
    <w:rsid w:val="00C5683B"/>
    <w:rsid w:val="00C67B38"/>
    <w:rsid w:val="00C70F7E"/>
    <w:rsid w:val="00C7704E"/>
    <w:rsid w:val="00C814A5"/>
    <w:rsid w:val="00C8404E"/>
    <w:rsid w:val="00C86FBA"/>
    <w:rsid w:val="00C872E7"/>
    <w:rsid w:val="00C90B5F"/>
    <w:rsid w:val="00CA38D1"/>
    <w:rsid w:val="00CB5C4B"/>
    <w:rsid w:val="00CD29B1"/>
    <w:rsid w:val="00CE490A"/>
    <w:rsid w:val="00CE75D6"/>
    <w:rsid w:val="00CF583D"/>
    <w:rsid w:val="00D0530F"/>
    <w:rsid w:val="00D17B2A"/>
    <w:rsid w:val="00D40244"/>
    <w:rsid w:val="00D438BF"/>
    <w:rsid w:val="00D512FE"/>
    <w:rsid w:val="00D62519"/>
    <w:rsid w:val="00D6622F"/>
    <w:rsid w:val="00DA07F4"/>
    <w:rsid w:val="00DA3056"/>
    <w:rsid w:val="00DB20E8"/>
    <w:rsid w:val="00DC2865"/>
    <w:rsid w:val="00DC302F"/>
    <w:rsid w:val="00DC6C30"/>
    <w:rsid w:val="00DE725B"/>
    <w:rsid w:val="00DE7A87"/>
    <w:rsid w:val="00DF5063"/>
    <w:rsid w:val="00E0246E"/>
    <w:rsid w:val="00E02541"/>
    <w:rsid w:val="00E06327"/>
    <w:rsid w:val="00E13072"/>
    <w:rsid w:val="00E1330C"/>
    <w:rsid w:val="00E13485"/>
    <w:rsid w:val="00E13A06"/>
    <w:rsid w:val="00E167E4"/>
    <w:rsid w:val="00E368E9"/>
    <w:rsid w:val="00E378F4"/>
    <w:rsid w:val="00E61697"/>
    <w:rsid w:val="00E65FE6"/>
    <w:rsid w:val="00E70BEC"/>
    <w:rsid w:val="00E757DC"/>
    <w:rsid w:val="00E75A2F"/>
    <w:rsid w:val="00E802FE"/>
    <w:rsid w:val="00E931A8"/>
    <w:rsid w:val="00EA72E6"/>
    <w:rsid w:val="00EB6EF1"/>
    <w:rsid w:val="00EC3C5A"/>
    <w:rsid w:val="00EE7450"/>
    <w:rsid w:val="00F001F1"/>
    <w:rsid w:val="00F10E7A"/>
    <w:rsid w:val="00F169DF"/>
    <w:rsid w:val="00F355C4"/>
    <w:rsid w:val="00F470BB"/>
    <w:rsid w:val="00F50D80"/>
    <w:rsid w:val="00F668EC"/>
    <w:rsid w:val="00F77921"/>
    <w:rsid w:val="00F84FC0"/>
    <w:rsid w:val="00F932AD"/>
    <w:rsid w:val="00FA7F56"/>
    <w:rsid w:val="00FB7815"/>
    <w:rsid w:val="00FB7F26"/>
    <w:rsid w:val="00FC065F"/>
    <w:rsid w:val="00FE06C4"/>
    <w:rsid w:val="00FE327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uiPriority w:val="99"/>
    <w:semiHidden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rsid w:val="0057322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Админ</cp:lastModifiedBy>
  <cp:revision>113</cp:revision>
  <cp:lastPrinted>2024-11-21T10:49:00Z</cp:lastPrinted>
  <dcterms:created xsi:type="dcterms:W3CDTF">2017-12-08T06:13:00Z</dcterms:created>
  <dcterms:modified xsi:type="dcterms:W3CDTF">2024-12-20T08:01:00Z</dcterms:modified>
</cp:coreProperties>
</file>